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2A00" w14:textId="77777777" w:rsidR="00661A08" w:rsidRDefault="00102F34">
      <w:pPr>
        <w:spacing w:after="160"/>
        <w:jc w:val="both"/>
        <w:rPr>
          <w:sz w:val="20"/>
          <w:szCs w:val="20"/>
        </w:rPr>
      </w:pPr>
      <w:r>
        <w:rPr>
          <w:rFonts w:ascii="Swis721 Lt BT" w:eastAsia="Swis721 Lt BT" w:hAnsi="Swis721 Lt BT" w:cs="Swis721 Lt BT"/>
          <w:b/>
          <w:bCs/>
          <w:sz w:val="20"/>
          <w:szCs w:val="20"/>
        </w:rPr>
        <w:t xml:space="preserve">A Technical Review Committee will be an </w:t>
      </w:r>
      <w:r w:rsidRPr="00FD183E">
        <w:rPr>
          <w:rFonts w:ascii="Swis721 Lt BT" w:eastAsia="Swis721 Lt BT" w:hAnsi="Swis721 Lt BT" w:cs="Swis721 Lt BT"/>
          <w:b/>
          <w:bCs/>
          <w:sz w:val="20"/>
          <w:szCs w:val="20"/>
          <w:u w:val="single"/>
        </w:rPr>
        <w:t>optional tool</w:t>
      </w:r>
      <w:r>
        <w:rPr>
          <w:rFonts w:ascii="Swis721 Lt BT" w:eastAsia="Swis721 Lt BT" w:hAnsi="Swis721 Lt BT" w:cs="Swis721 Lt BT"/>
          <w:b/>
          <w:bCs/>
          <w:sz w:val="20"/>
          <w:szCs w:val="20"/>
        </w:rPr>
        <w:t xml:space="preserve"> for municipalities to implement. The language in </w:t>
      </w:r>
      <w:r>
        <w:rPr>
          <w:rFonts w:ascii="Swis721 Lt BT" w:eastAsia="Swis721 Lt BT" w:hAnsi="Swis721 Lt BT" w:cs="Swis721 Lt BT"/>
          <w:b/>
          <w:bCs/>
          <w:color w:val="C00000"/>
          <w:sz w:val="20"/>
          <w:szCs w:val="20"/>
        </w:rPr>
        <w:t>red</w:t>
      </w:r>
      <w:r>
        <w:rPr>
          <w:rFonts w:ascii="Swis721 Lt BT" w:eastAsia="Swis721 Lt BT" w:hAnsi="Swis721 Lt BT" w:cs="Swis721 Lt BT"/>
          <w:b/>
          <w:bCs/>
          <w:sz w:val="20"/>
          <w:szCs w:val="20"/>
        </w:rPr>
        <w:t xml:space="preserve"> is directly from state law and must be inserted as written, </w:t>
      </w:r>
      <w:r w:rsidRPr="00FD183E">
        <w:rPr>
          <w:rFonts w:ascii="Swis721 Lt BT" w:eastAsia="Swis721 Lt BT" w:hAnsi="Swis721 Lt BT" w:cs="Swis721 Lt BT"/>
          <w:b/>
          <w:bCs/>
          <w:sz w:val="20"/>
          <w:szCs w:val="20"/>
          <w:u w:val="single"/>
        </w:rPr>
        <w:t>should the municipality decide to adopt the provision</w:t>
      </w:r>
      <w:r>
        <w:rPr>
          <w:rFonts w:ascii="Swis721 Lt BT" w:eastAsia="Swis721 Lt BT" w:hAnsi="Swis721 Lt BT" w:cs="Swis721 Lt BT"/>
          <w:b/>
          <w:bCs/>
          <w:sz w:val="20"/>
          <w:szCs w:val="20"/>
        </w:rPr>
        <w:t>. The additional language in black is derived from best practices. Those sections are recommended for consideration by the municipality to accompany the required text and provide guidance to applicants and the municipality.</w:t>
      </w:r>
    </w:p>
    <w:p w14:paraId="0DC1377E" w14:textId="4F7EAA55" w:rsidR="00661A08" w:rsidRDefault="00102F34">
      <w:pPr>
        <w:numPr>
          <w:ilvl w:val="1"/>
          <w:numId w:val="1"/>
        </w:numPr>
        <w:tabs>
          <w:tab w:val="left" w:pos="446"/>
        </w:tabs>
        <w:spacing w:after="160"/>
        <w:ind w:left="450" w:hanging="432"/>
        <w:rPr>
          <w:sz w:val="20"/>
          <w:szCs w:val="20"/>
        </w:rPr>
      </w:pPr>
      <w:r>
        <w:rPr>
          <w:rFonts w:ascii="Swis721 Lt BT" w:eastAsia="Swis721 Lt BT" w:hAnsi="Swis721 Lt BT" w:cs="Swis721 Lt BT"/>
          <w:i/>
          <w:iCs/>
          <w:sz w:val="20"/>
          <w:szCs w:val="20"/>
        </w:rPr>
        <w:t>Technical Review Committee</w:t>
      </w:r>
      <w:r w:rsidR="00F40C1B" w:rsidRPr="00FF7F2D">
        <w:rPr>
          <w:rStyle w:val="FootnoteReference"/>
          <w:rFonts w:asciiTheme="minorHAnsi" w:eastAsia="Swis721 Lt BT" w:hAnsiTheme="minorHAnsi" w:cstheme="minorHAnsi"/>
          <w:b/>
          <w:bCs/>
          <w:sz w:val="24"/>
          <w:szCs w:val="24"/>
        </w:rPr>
        <w:footnoteReference w:customMarkFollows="1" w:id="1"/>
        <w:t>1</w:t>
      </w:r>
    </w:p>
    <w:p w14:paraId="487A890E" w14:textId="32E5C40C" w:rsidR="00661A08" w:rsidRPr="00FD183E" w:rsidRDefault="00102F34">
      <w:pPr>
        <w:numPr>
          <w:ilvl w:val="0"/>
          <w:numId w:val="2"/>
        </w:numPr>
        <w:pBdr>
          <w:left w:val="none" w:sz="0" w:space="5" w:color="auto"/>
        </w:pBdr>
        <w:spacing w:before="40" w:after="120" w:line="240" w:lineRule="auto"/>
        <w:ind w:hanging="353"/>
        <w:jc w:val="both"/>
        <w:rPr>
          <w:rFonts w:ascii="Swis721 Lt BT" w:eastAsia="Swis721 Lt BT" w:hAnsi="Swis721 Lt BT" w:cs="Swis721 Lt BT"/>
          <w:sz w:val="20"/>
          <w:szCs w:val="20"/>
        </w:rPr>
      </w:pPr>
      <w:r>
        <w:rPr>
          <w:rFonts w:ascii="Swis721 Lt BT" w:eastAsia="Swis721 Lt BT" w:hAnsi="Swis721 Lt BT" w:cs="Swis721 Lt BT"/>
          <w:color w:val="C00000"/>
          <w:sz w:val="20"/>
          <w:szCs w:val="20"/>
        </w:rPr>
        <w:t>There is hereby established</w:t>
      </w:r>
      <w:r w:rsidR="00FF7F2D" w:rsidRPr="00FF7F2D">
        <w:rPr>
          <w:rStyle w:val="FootnoteReference"/>
          <w:rFonts w:asciiTheme="minorHAnsi" w:eastAsia="Swis721 Lt BT" w:hAnsiTheme="minorHAnsi" w:cstheme="minorHAnsi"/>
          <w:b/>
          <w:bCs/>
          <w:sz w:val="24"/>
          <w:szCs w:val="24"/>
        </w:rPr>
        <w:footnoteReference w:customMarkFollows="1" w:id="2"/>
        <w:t>2</w:t>
      </w:r>
      <w:r w:rsidRPr="00FD183E">
        <w:rPr>
          <w:rFonts w:ascii="Swis721 Lt BT" w:eastAsia="Swis721 Lt BT" w:hAnsi="Swis721 Lt BT" w:cs="Swis721 Lt BT"/>
          <w:b/>
          <w:bCs/>
          <w:color w:val="C00000"/>
          <w:sz w:val="24"/>
          <w:szCs w:val="24"/>
        </w:rPr>
        <w:t xml:space="preserve"> </w:t>
      </w:r>
      <w:r>
        <w:rPr>
          <w:rFonts w:ascii="Swis721 Lt BT" w:eastAsia="Swis721 Lt BT" w:hAnsi="Swis721 Lt BT" w:cs="Swis721 Lt BT"/>
          <w:color w:val="C00000"/>
          <w:sz w:val="20"/>
          <w:szCs w:val="20"/>
        </w:rPr>
        <w:t>a technical review committee (TRC)</w:t>
      </w:r>
      <w:r w:rsidRPr="00FD183E">
        <w:rPr>
          <w:rFonts w:asciiTheme="minorHAnsi" w:eastAsia="Swis721 Lt BT" w:hAnsiTheme="minorHAnsi" w:cstheme="minorHAnsi"/>
          <w:b/>
          <w:bCs/>
          <w:sz w:val="24"/>
          <w:szCs w:val="24"/>
        </w:rPr>
        <w:t xml:space="preserve"> </w:t>
      </w:r>
      <w:r>
        <w:rPr>
          <w:rFonts w:ascii="Swis721 Lt BT" w:eastAsia="Swis721 Lt BT" w:hAnsi="Swis721 Lt BT" w:cs="Swis721 Lt BT"/>
          <w:color w:val="C00000"/>
          <w:sz w:val="20"/>
          <w:szCs w:val="20"/>
        </w:rPr>
        <w:t>in accordance with RIGL §45-23-56, the members of which are appointed by the [CITY/TOWN] Council. The TRC is responsible for conducting technical reviews of all applications subject to the jurisdiction delegated under [INSERT LOCAL SECTION REFERENCE].</w:t>
      </w:r>
      <w:r w:rsidR="00FD183E">
        <w:rPr>
          <w:rFonts w:ascii="Swis721 Lt BT" w:eastAsia="Swis721 Lt BT" w:hAnsi="Swis721 Lt BT" w:cs="Swis721 Lt BT"/>
          <w:color w:val="C00000"/>
          <w:sz w:val="20"/>
          <w:szCs w:val="20"/>
        </w:rPr>
        <w:t xml:space="preserve"> </w:t>
      </w:r>
      <w:r w:rsidR="00FD183E" w:rsidRPr="00FD183E">
        <w:rPr>
          <w:rFonts w:ascii="Swis721 Lt BT" w:eastAsia="Swis721 Lt BT" w:hAnsi="Swis721 Lt BT" w:cs="Swis721 Lt BT"/>
          <w:sz w:val="20"/>
          <w:szCs w:val="20"/>
        </w:rPr>
        <w:t xml:space="preserve">The TRC may also review and approve applications </w:t>
      </w:r>
      <w:r w:rsidR="00FD183E">
        <w:rPr>
          <w:rFonts w:ascii="Swis721 Lt BT" w:eastAsia="Swis721 Lt BT" w:hAnsi="Swis721 Lt BT" w:cs="Swis721 Lt BT"/>
          <w:sz w:val="20"/>
          <w:szCs w:val="20"/>
        </w:rPr>
        <w:t xml:space="preserve">in accordance with [SECTION </w:t>
      </w:r>
      <w:r w:rsidR="00F40C1B">
        <w:rPr>
          <w:rFonts w:ascii="Swis721 Lt BT" w:eastAsia="Swis721 Lt BT" w:hAnsi="Swis721 Lt BT" w:cs="Swis721 Lt BT"/>
          <w:sz w:val="20"/>
          <w:szCs w:val="20"/>
        </w:rPr>
        <w:t>g</w:t>
      </w:r>
      <w:r w:rsidR="00FD183E">
        <w:rPr>
          <w:rFonts w:ascii="Swis721 Lt BT" w:eastAsia="Swis721 Lt BT" w:hAnsi="Swis721 Lt BT" w:cs="Swis721 Lt BT"/>
          <w:sz w:val="20"/>
          <w:szCs w:val="20"/>
        </w:rPr>
        <w:t>] herein.</w:t>
      </w:r>
    </w:p>
    <w:p w14:paraId="2965F963" w14:textId="339EC54B" w:rsidR="00661A08" w:rsidRDefault="00102F34">
      <w:pPr>
        <w:numPr>
          <w:ilvl w:val="0"/>
          <w:numId w:val="2"/>
        </w:numPr>
        <w:pBdr>
          <w:left w:val="none" w:sz="0" w:space="5" w:color="auto"/>
        </w:pBdr>
        <w:spacing w:before="40" w:after="120" w:line="240" w:lineRule="auto"/>
        <w:ind w:hanging="35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TRC shall consist of [NUMBER of] members</w:t>
      </w:r>
      <w:r w:rsidR="00FF7F2D">
        <w:rPr>
          <w:rStyle w:val="FootnoteReference"/>
          <w:rFonts w:asciiTheme="minorHAnsi" w:eastAsia="Swis721 Lt BT" w:hAnsiTheme="minorHAnsi" w:cstheme="minorHAnsi"/>
          <w:b/>
          <w:bCs/>
          <w:sz w:val="24"/>
          <w:szCs w:val="24"/>
        </w:rPr>
        <w:footnoteReference w:customMarkFollows="1" w:id="3"/>
        <w:t>3</w:t>
      </w:r>
      <w:r>
        <w:rPr>
          <w:rFonts w:ascii="Swis721 Lt BT" w:eastAsia="Swis721 Lt BT" w:hAnsi="Swis721 Lt BT" w:cs="Swis721 Lt BT"/>
          <w:color w:val="C00000"/>
          <w:sz w:val="20"/>
          <w:szCs w:val="20"/>
        </w:rPr>
        <w:t>, including [INSERT THE TITLES/QUALIFICATION OF THE MEMBERSHIP].</w:t>
      </w:r>
    </w:p>
    <w:p w14:paraId="1DE9693D" w14:textId="77777777" w:rsidR="00661A08" w:rsidRDefault="00102F34">
      <w:pPr>
        <w:numPr>
          <w:ilvl w:val="0"/>
          <w:numId w:val="2"/>
        </w:numPr>
        <w:pBdr>
          <w:left w:val="none" w:sz="0" w:space="6" w:color="auto"/>
        </w:pBdr>
        <w:spacing w:before="40" w:after="120" w:line="240" w:lineRule="auto"/>
        <w:ind w:hanging="36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[planning board] shall adopt written procedures establishing the committee’s responsibilities.</w:t>
      </w:r>
    </w:p>
    <w:p w14:paraId="1E770FAC" w14:textId="77777777" w:rsidR="00661A08" w:rsidRDefault="00102F34">
      <w:pPr>
        <w:numPr>
          <w:ilvl w:val="0"/>
          <w:numId w:val="2"/>
        </w:numPr>
        <w:pBdr>
          <w:left w:val="none" w:sz="0" w:space="5" w:color="auto"/>
        </w:pBdr>
        <w:spacing w:before="40" w:after="120" w:line="240" w:lineRule="auto"/>
        <w:ind w:hanging="35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administrative officer shall serve as chair of the TRC.</w:t>
      </w:r>
    </w:p>
    <w:p w14:paraId="58A0EA09" w14:textId="77777777" w:rsidR="00661A08" w:rsidRDefault="00102F34" w:rsidP="00FD183E">
      <w:pPr>
        <w:numPr>
          <w:ilvl w:val="0"/>
          <w:numId w:val="2"/>
        </w:numPr>
        <w:pBdr>
          <w:left w:val="none" w:sz="0" w:space="5" w:color="auto"/>
        </w:pBdr>
        <w:spacing w:before="40" w:after="120" w:line="240" w:lineRule="auto"/>
        <w:ind w:hanging="349"/>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Recommendations of the TRC to the permitting authority shall be in writing and kept as part of the permanent record of the development application. In no case shall the recommendations of the technical review committee be binding on the [planning board] in its activities or decisions.  The recommendation of the TRC shall be made available to the applicant prior to a decision by the permitting authority.  </w:t>
      </w:r>
    </w:p>
    <w:p w14:paraId="303F5016" w14:textId="3A5F8AE2" w:rsidR="00661A08" w:rsidRPr="00F40C1B" w:rsidRDefault="00102F34" w:rsidP="00FD183E">
      <w:pPr>
        <w:numPr>
          <w:ilvl w:val="0"/>
          <w:numId w:val="2"/>
        </w:numPr>
        <w:pBdr>
          <w:left w:val="none" w:sz="0" w:space="7" w:color="auto"/>
        </w:pBdr>
        <w:spacing w:after="160"/>
        <w:ind w:hanging="365"/>
        <w:jc w:val="both"/>
        <w:rPr>
          <w:rFonts w:ascii="Swis721 Lt BT" w:eastAsia="Swis721 Lt BT" w:hAnsi="Swis721 Lt BT" w:cs="Swis721 Lt BT"/>
          <w:color w:val="C00000"/>
          <w:sz w:val="20"/>
          <w:szCs w:val="20"/>
        </w:rPr>
      </w:pPr>
      <w:r>
        <w:rPr>
          <w:rFonts w:ascii="Swis721 Lt BT" w:eastAsia="Swis721 Lt BT" w:hAnsi="Swis721 Lt BT" w:cs="Swis721 Lt BT"/>
          <w:sz w:val="20"/>
          <w:szCs w:val="20"/>
        </w:rPr>
        <w:t>Review of applications in an advisory capacit</w:t>
      </w:r>
      <w:r w:rsidRPr="002067C7">
        <w:rPr>
          <w:rFonts w:ascii="Swis721 Lt BT" w:eastAsia="Swis721 Lt BT" w:hAnsi="Swis721 Lt BT" w:cs="Swis721 Lt BT"/>
          <w:sz w:val="20"/>
          <w:szCs w:val="20"/>
        </w:rPr>
        <w:t>y</w:t>
      </w:r>
      <w:r w:rsidR="002067C7" w:rsidRPr="002067C7">
        <w:rPr>
          <w:rFonts w:ascii="Swis721 Lt BT" w:eastAsia="Swis721 Lt BT" w:hAnsi="Swis721 Lt BT" w:cs="Swis721 Lt BT"/>
          <w:sz w:val="20"/>
          <w:szCs w:val="20"/>
        </w:rPr>
        <w:t>.</w:t>
      </w:r>
      <w:r w:rsidR="00F40C1B" w:rsidRPr="002067C7">
        <w:rPr>
          <w:rFonts w:ascii="Swis721 Lt BT" w:eastAsia="Swis721 Lt BT" w:hAnsi="Swis721 Lt BT" w:cs="Swis721 Lt BT"/>
          <w:sz w:val="20"/>
          <w:szCs w:val="20"/>
        </w:rPr>
        <w:t xml:space="preserve"> </w:t>
      </w:r>
    </w:p>
    <w:p w14:paraId="07F0164A" w14:textId="77777777" w:rsidR="00661A08" w:rsidRDefault="00102F34" w:rsidP="00FD183E">
      <w:pPr>
        <w:numPr>
          <w:ilvl w:val="1"/>
          <w:numId w:val="2"/>
        </w:numPr>
        <w:pBdr>
          <w:left w:val="none" w:sz="0" w:space="13" w:color="auto"/>
        </w:pBdr>
        <w:spacing w:after="160"/>
        <w:ind w:hanging="510"/>
        <w:jc w:val="both"/>
        <w:rPr>
          <w:rFonts w:ascii="Swis721 Lt BT" w:eastAsia="Swis721 Lt BT" w:hAnsi="Swis721 Lt BT" w:cs="Swis721 Lt BT"/>
          <w:sz w:val="20"/>
          <w:szCs w:val="20"/>
        </w:rPr>
      </w:pPr>
      <w:r>
        <w:rPr>
          <w:rFonts w:ascii="Swis721 Lt BT" w:eastAsia="Swis721 Lt BT" w:hAnsi="Swis721 Lt BT" w:cs="Swis721 Lt BT"/>
          <w:sz w:val="20"/>
          <w:szCs w:val="20"/>
        </w:rPr>
        <w:t>The TRC shall review the following types of applications in an advisory capacity:</w:t>
      </w:r>
    </w:p>
    <w:p w14:paraId="2093D480" w14:textId="75491487" w:rsidR="00661A08" w:rsidRDefault="00102F34" w:rsidP="00FD183E">
      <w:pPr>
        <w:numPr>
          <w:ilvl w:val="2"/>
          <w:numId w:val="2"/>
        </w:numPr>
        <w:pBdr>
          <w:left w:val="none" w:sz="0" w:space="4" w:color="auto"/>
        </w:pBdr>
        <w:spacing w:after="160"/>
        <w:ind w:hanging="360"/>
        <w:jc w:val="both"/>
        <w:rPr>
          <w:rFonts w:ascii="Swis721 Lt BT" w:eastAsia="Swis721 Lt BT" w:hAnsi="Swis721 Lt BT" w:cs="Swis721 Lt BT"/>
          <w:sz w:val="20"/>
          <w:szCs w:val="20"/>
        </w:rPr>
      </w:pPr>
      <w:r>
        <w:rPr>
          <w:rFonts w:ascii="Swis721 Lt BT" w:eastAsia="Swis721 Lt BT" w:hAnsi="Swis721 Lt BT" w:cs="Swis721 Lt BT"/>
          <w:sz w:val="20"/>
          <w:szCs w:val="20"/>
        </w:rPr>
        <w:t>Minor land development projects and subdivisions; advisory to the permitting authority as determined in [INSERT LOCAL SECTION REFERENCE].</w:t>
      </w:r>
    </w:p>
    <w:p w14:paraId="5AB089FA" w14:textId="470B655D" w:rsidR="00FD183E" w:rsidRPr="00FD183E" w:rsidRDefault="00FD183E" w:rsidP="00FD183E">
      <w:pPr>
        <w:numPr>
          <w:ilvl w:val="2"/>
          <w:numId w:val="2"/>
        </w:numPr>
        <w:pBdr>
          <w:left w:val="none" w:sz="0" w:space="4" w:color="auto"/>
        </w:pBdr>
        <w:spacing w:after="160"/>
        <w:ind w:hanging="360"/>
        <w:jc w:val="both"/>
        <w:rPr>
          <w:rFonts w:ascii="Swis721 Lt BT" w:eastAsia="Swis721 Lt BT" w:hAnsi="Swis721 Lt BT" w:cs="Swis721 Lt BT"/>
          <w:color w:val="C00000"/>
          <w:sz w:val="20"/>
          <w:szCs w:val="20"/>
        </w:rPr>
      </w:pPr>
      <w:r>
        <w:rPr>
          <w:rFonts w:ascii="Swis721 Lt BT" w:eastAsia="Swis721 Lt BT" w:hAnsi="Swis721 Lt BT" w:cs="Swis721 Lt BT"/>
          <w:sz w:val="20"/>
          <w:szCs w:val="20"/>
        </w:rPr>
        <w:t>Major</w:t>
      </w:r>
      <w:r w:rsidRPr="00FD183E">
        <w:rPr>
          <w:rFonts w:ascii="Swis721 Lt BT" w:eastAsia="Swis721 Lt BT" w:hAnsi="Swis721 Lt BT" w:cs="Swis721 Lt BT"/>
          <w:sz w:val="20"/>
          <w:szCs w:val="20"/>
        </w:rPr>
        <w:t xml:space="preserve"> </w:t>
      </w:r>
      <w:r>
        <w:rPr>
          <w:rFonts w:ascii="Swis721 Lt BT" w:eastAsia="Swis721 Lt BT" w:hAnsi="Swis721 Lt BT" w:cs="Swis721 Lt BT"/>
          <w:sz w:val="20"/>
          <w:szCs w:val="20"/>
        </w:rPr>
        <w:t xml:space="preserve">land development projects and subdivisions; advisory to the permitting authority as determined in [INSERT LOCAL SECTION REFERENCE], </w:t>
      </w:r>
      <w:r w:rsidRPr="00FD183E">
        <w:rPr>
          <w:rFonts w:ascii="Swis721 Lt BT" w:eastAsia="Swis721 Lt BT" w:hAnsi="Swis721 Lt BT" w:cs="Swis721 Lt BT"/>
          <w:color w:val="C00000"/>
          <w:sz w:val="20"/>
          <w:szCs w:val="20"/>
        </w:rPr>
        <w:t>provided that the TRC reviews the application prior to the [planning board’s] first meeting on the application.</w:t>
      </w:r>
    </w:p>
    <w:p w14:paraId="77B6C63E" w14:textId="77777777" w:rsidR="00661A08" w:rsidRDefault="00102F34" w:rsidP="00FD183E">
      <w:pPr>
        <w:numPr>
          <w:ilvl w:val="2"/>
          <w:numId w:val="2"/>
        </w:numPr>
        <w:pBdr>
          <w:left w:val="none" w:sz="0" w:space="4" w:color="auto"/>
        </w:pBdr>
        <w:spacing w:after="160"/>
        <w:ind w:hanging="360"/>
        <w:jc w:val="both"/>
        <w:rPr>
          <w:rFonts w:ascii="Swis721 Lt BT" w:eastAsia="Swis721 Lt BT" w:hAnsi="Swis721 Lt BT" w:cs="Swis721 Lt BT"/>
          <w:sz w:val="20"/>
          <w:szCs w:val="20"/>
        </w:rPr>
      </w:pPr>
      <w:r>
        <w:rPr>
          <w:rFonts w:ascii="Swis721 Lt BT" w:eastAsia="Swis721 Lt BT" w:hAnsi="Swis721 Lt BT" w:cs="Swis721 Lt BT"/>
          <w:sz w:val="20"/>
          <w:szCs w:val="20"/>
        </w:rPr>
        <w:t>Administrative subdivisions at the request of the administrative officer; advisory to the administrative officer.</w:t>
      </w:r>
    </w:p>
    <w:p w14:paraId="39E02F96" w14:textId="77777777" w:rsidR="00661A08" w:rsidRDefault="00102F34" w:rsidP="00FD183E">
      <w:pPr>
        <w:numPr>
          <w:ilvl w:val="2"/>
          <w:numId w:val="2"/>
        </w:numPr>
        <w:pBdr>
          <w:left w:val="none" w:sz="0" w:space="4" w:color="auto"/>
        </w:pBdr>
        <w:spacing w:after="160"/>
        <w:ind w:hanging="360"/>
        <w:jc w:val="both"/>
        <w:rPr>
          <w:rFonts w:ascii="Swis721 Lt BT" w:eastAsia="Swis721 Lt BT" w:hAnsi="Swis721 Lt BT" w:cs="Swis721 Lt BT"/>
          <w:sz w:val="20"/>
          <w:szCs w:val="20"/>
        </w:rPr>
      </w:pPr>
      <w:r>
        <w:rPr>
          <w:rFonts w:ascii="Swis721 Lt BT" w:eastAsia="Swis721 Lt BT" w:hAnsi="Swis721 Lt BT" w:cs="Swis721 Lt BT"/>
          <w:sz w:val="20"/>
          <w:szCs w:val="20"/>
        </w:rPr>
        <w:t>Comprehensive permit applications; advisory to the [planning board].</w:t>
      </w:r>
    </w:p>
    <w:p w14:paraId="688E5918" w14:textId="3D62F0A6" w:rsidR="00661A08" w:rsidRPr="00FF7F2D" w:rsidRDefault="00102F34">
      <w:pPr>
        <w:numPr>
          <w:ilvl w:val="2"/>
          <w:numId w:val="2"/>
        </w:numPr>
        <w:pBdr>
          <w:left w:val="none" w:sz="0" w:space="4" w:color="auto"/>
        </w:pBdr>
        <w:spacing w:before="40" w:after="120" w:line="240" w:lineRule="auto"/>
        <w:ind w:hanging="386"/>
        <w:jc w:val="both"/>
        <w:rPr>
          <w:rFonts w:asciiTheme="minorHAnsi" w:eastAsia="Swis721 Lt BT" w:hAnsiTheme="minorHAnsi" w:cstheme="minorHAnsi"/>
          <w:b/>
          <w:bCs/>
          <w:sz w:val="24"/>
          <w:szCs w:val="24"/>
        </w:rPr>
      </w:pPr>
      <w:r>
        <w:rPr>
          <w:rFonts w:ascii="Swis721 Lt BT" w:eastAsia="Swis721 Lt BT" w:hAnsi="Swis721 Lt BT" w:cs="Swis721 Lt BT"/>
          <w:sz w:val="20"/>
          <w:szCs w:val="20"/>
        </w:rPr>
        <w:lastRenderedPageBreak/>
        <w:t>[Minor modifications or changes, as defined in [INSERT LOCAL SECTION REFERENCE], to land development and subdivision applications.]</w:t>
      </w:r>
      <w:r w:rsidR="00FF7F2D" w:rsidRPr="00FF7F2D">
        <w:rPr>
          <w:rStyle w:val="FootnoteReference"/>
          <w:rFonts w:asciiTheme="minorHAnsi" w:eastAsia="Swis721 Lt BT" w:hAnsiTheme="minorHAnsi" w:cstheme="minorHAnsi"/>
          <w:b/>
          <w:bCs/>
          <w:sz w:val="24"/>
          <w:szCs w:val="24"/>
        </w:rPr>
        <w:footnoteReference w:customMarkFollows="1" w:id="4"/>
        <w:t>4</w:t>
      </w:r>
    </w:p>
    <w:p w14:paraId="561B21BC" w14:textId="77777777" w:rsidR="00661A08" w:rsidRDefault="00102F34">
      <w:pPr>
        <w:numPr>
          <w:ilvl w:val="2"/>
          <w:numId w:val="2"/>
        </w:numPr>
        <w:pBdr>
          <w:left w:val="none" w:sz="0" w:space="4" w:color="auto"/>
        </w:pBdr>
        <w:spacing w:before="40" w:after="120" w:line="240" w:lineRule="auto"/>
        <w:ind w:hanging="330"/>
        <w:jc w:val="both"/>
        <w:rPr>
          <w:rFonts w:ascii="Swis721 Lt BT" w:eastAsia="Swis721 Lt BT" w:hAnsi="Swis721 Lt BT" w:cs="Swis721 Lt BT"/>
          <w:sz w:val="20"/>
          <w:szCs w:val="20"/>
        </w:rPr>
      </w:pPr>
      <w:r>
        <w:rPr>
          <w:rFonts w:ascii="Swis721 Lt BT" w:eastAsia="Swis721 Lt BT" w:hAnsi="Swis721 Lt BT" w:cs="Swis721 Lt BT"/>
          <w:sz w:val="20"/>
          <w:szCs w:val="20"/>
        </w:rPr>
        <w:t>[Administrative development plan review applications; advisory to the administrative officer]</w:t>
      </w:r>
    </w:p>
    <w:p w14:paraId="69EA0621" w14:textId="77777777" w:rsidR="00661A08" w:rsidRDefault="00102F34">
      <w:pPr>
        <w:numPr>
          <w:ilvl w:val="2"/>
          <w:numId w:val="2"/>
        </w:numPr>
        <w:pBdr>
          <w:left w:val="none" w:sz="0" w:space="4" w:color="auto"/>
        </w:pBdr>
        <w:spacing w:before="40" w:after="120" w:line="240" w:lineRule="auto"/>
        <w:ind w:hanging="386"/>
        <w:jc w:val="both"/>
        <w:rPr>
          <w:rFonts w:ascii="Swis721 Lt BT" w:eastAsia="Swis721 Lt BT" w:hAnsi="Swis721 Lt BT" w:cs="Swis721 Lt BT"/>
          <w:sz w:val="20"/>
          <w:szCs w:val="20"/>
        </w:rPr>
      </w:pPr>
      <w:r>
        <w:rPr>
          <w:rFonts w:ascii="Swis721 Lt BT" w:eastAsia="Swis721 Lt BT" w:hAnsi="Swis721 Lt BT" w:cs="Swis721 Lt BT"/>
          <w:sz w:val="20"/>
          <w:szCs w:val="20"/>
        </w:rPr>
        <w:t>[Formal development plan review applications; advisory to the [planning board]]</w:t>
      </w:r>
    </w:p>
    <w:p w14:paraId="51FA2236" w14:textId="77777777" w:rsidR="00661A08" w:rsidRDefault="00102F34">
      <w:pPr>
        <w:numPr>
          <w:ilvl w:val="2"/>
          <w:numId w:val="2"/>
        </w:numPr>
        <w:pBdr>
          <w:left w:val="none" w:sz="0" w:space="4" w:color="auto"/>
        </w:pBdr>
        <w:spacing w:before="40" w:after="120" w:line="240" w:lineRule="auto"/>
        <w:ind w:hanging="441"/>
        <w:jc w:val="both"/>
        <w:rPr>
          <w:rFonts w:ascii="Swis721 Lt BT" w:eastAsia="Swis721 Lt BT" w:hAnsi="Swis721 Lt BT" w:cs="Swis721 Lt BT"/>
          <w:sz w:val="20"/>
          <w:szCs w:val="20"/>
        </w:rPr>
      </w:pPr>
      <w:r>
        <w:rPr>
          <w:rFonts w:ascii="Swis721 Lt BT" w:eastAsia="Swis721 Lt BT" w:hAnsi="Swis721 Lt BT" w:cs="Swis721 Lt BT"/>
          <w:sz w:val="20"/>
          <w:szCs w:val="20"/>
        </w:rPr>
        <w:t>Other matters referred to the TRC by the [planning board, zoning board, or city/town council].</w:t>
      </w:r>
    </w:p>
    <w:p w14:paraId="03FF65FC" w14:textId="77777777" w:rsidR="00661A08" w:rsidRDefault="00102F34">
      <w:pPr>
        <w:numPr>
          <w:ilvl w:val="0"/>
          <w:numId w:val="2"/>
        </w:numPr>
        <w:pBdr>
          <w:left w:val="none" w:sz="0" w:space="5" w:color="auto"/>
        </w:pBdr>
        <w:spacing w:before="40" w:line="240" w:lineRule="auto"/>
        <w:ind w:hanging="365"/>
        <w:jc w:val="both"/>
        <w:rPr>
          <w:rFonts w:ascii="Swis721 Lt BT" w:eastAsia="Swis721 Lt BT" w:hAnsi="Swis721 Lt BT" w:cs="Swis721 Lt BT"/>
          <w:sz w:val="20"/>
          <w:szCs w:val="20"/>
        </w:rPr>
      </w:pPr>
      <w:r>
        <w:rPr>
          <w:rFonts w:ascii="Swis721 Lt BT" w:eastAsia="Swis721 Lt BT" w:hAnsi="Swis721 Lt BT" w:cs="Swis721 Lt BT"/>
          <w:sz w:val="20"/>
          <w:szCs w:val="20"/>
        </w:rPr>
        <w:t>Review of applications for decision</w:t>
      </w:r>
    </w:p>
    <w:p w14:paraId="77F82B64" w14:textId="77777777" w:rsidR="00661A08" w:rsidRDefault="00102F34">
      <w:pPr>
        <w:numPr>
          <w:ilvl w:val="1"/>
          <w:numId w:val="2"/>
        </w:numPr>
        <w:pBdr>
          <w:left w:val="none" w:sz="0" w:space="13" w:color="auto"/>
        </w:pBdr>
        <w:spacing w:before="40" w:line="240" w:lineRule="auto"/>
        <w:ind w:hanging="510"/>
        <w:jc w:val="both"/>
        <w:rPr>
          <w:rFonts w:ascii="Swis721 Lt BT" w:eastAsia="Swis721 Lt BT" w:hAnsi="Swis721 Lt BT" w:cs="Swis721 Lt BT"/>
          <w:sz w:val="20"/>
          <w:szCs w:val="20"/>
        </w:rPr>
      </w:pPr>
      <w:r>
        <w:rPr>
          <w:rFonts w:ascii="Swis721 Lt BT" w:eastAsia="Swis721 Lt BT" w:hAnsi="Swis721 Lt BT" w:cs="Swis721 Lt BT"/>
          <w:sz w:val="20"/>
          <w:szCs w:val="20"/>
        </w:rPr>
        <w:t>The TRC shall review the following types of applications for determination by a majority vote of the membership. The decision of the TRC for these applications shall be binding on the applicant.</w:t>
      </w:r>
    </w:p>
    <w:p w14:paraId="06A59A09" w14:textId="2E192F35" w:rsidR="00661A08" w:rsidRPr="00FF7F2D" w:rsidRDefault="00102F34">
      <w:pPr>
        <w:numPr>
          <w:ilvl w:val="2"/>
          <w:numId w:val="2"/>
        </w:numPr>
        <w:pBdr>
          <w:left w:val="none" w:sz="0" w:space="4" w:color="auto"/>
        </w:pBdr>
        <w:spacing w:before="40" w:after="120" w:line="240" w:lineRule="auto"/>
        <w:ind w:hanging="286"/>
        <w:jc w:val="both"/>
        <w:rPr>
          <w:rFonts w:asciiTheme="minorHAnsi" w:eastAsia="Swis721 Lt BT" w:hAnsiTheme="minorHAnsi" w:cstheme="minorHAnsi"/>
          <w:b/>
          <w:bCs/>
          <w:sz w:val="24"/>
          <w:szCs w:val="24"/>
        </w:rPr>
      </w:pPr>
      <w:r>
        <w:rPr>
          <w:rFonts w:ascii="Swis721 Lt BT" w:eastAsia="Swis721 Lt BT" w:hAnsi="Swis721 Lt BT" w:cs="Swis721 Lt BT"/>
          <w:sz w:val="20"/>
          <w:szCs w:val="20"/>
        </w:rPr>
        <w:t>Final plan applications for minor land development and subdivisions.</w:t>
      </w:r>
      <w:r w:rsidR="00FF7F2D" w:rsidRPr="00FF7F2D">
        <w:rPr>
          <w:rStyle w:val="FootnoteReference"/>
          <w:rFonts w:asciiTheme="minorHAnsi" w:eastAsia="Swis721 Lt BT" w:hAnsiTheme="minorHAnsi" w:cstheme="minorHAnsi"/>
          <w:b/>
          <w:bCs/>
          <w:sz w:val="24"/>
          <w:szCs w:val="24"/>
        </w:rPr>
        <w:footnoteReference w:customMarkFollows="1" w:id="5"/>
        <w:t>5</w:t>
      </w:r>
    </w:p>
    <w:p w14:paraId="66A9ACB6" w14:textId="3799B508" w:rsidR="00661A08" w:rsidRDefault="00102F34">
      <w:pPr>
        <w:numPr>
          <w:ilvl w:val="2"/>
          <w:numId w:val="2"/>
        </w:numPr>
        <w:pBdr>
          <w:left w:val="none" w:sz="0" w:space="4" w:color="auto"/>
        </w:pBdr>
        <w:spacing w:after="160"/>
        <w:ind w:hanging="341"/>
        <w:rPr>
          <w:rFonts w:ascii="Swis721 Lt BT" w:eastAsia="Swis721 Lt BT" w:hAnsi="Swis721 Lt BT" w:cs="Swis721 Lt BT"/>
          <w:sz w:val="20"/>
          <w:szCs w:val="20"/>
        </w:rPr>
      </w:pPr>
      <w:r>
        <w:rPr>
          <w:rFonts w:ascii="Swis721 Lt BT" w:eastAsia="Swis721 Lt BT" w:hAnsi="Swis721 Lt BT" w:cs="Swis721 Lt BT"/>
          <w:sz w:val="20"/>
          <w:szCs w:val="20"/>
        </w:rPr>
        <w:t>Preliminary plan applications for formal development plan review as defined in [INSERT LOCAL SECTION REFERENCE]</w:t>
      </w:r>
      <w:r w:rsidR="00FF7F2D">
        <w:rPr>
          <w:rFonts w:ascii="Swis721 Lt BT" w:eastAsia="Swis721 Lt BT" w:hAnsi="Swis721 Lt BT" w:cs="Swis721 Lt BT"/>
          <w:sz w:val="20"/>
          <w:szCs w:val="20"/>
        </w:rPr>
        <w:t>.</w:t>
      </w:r>
      <w:r w:rsidR="00FF7F2D" w:rsidRPr="00FF7F2D">
        <w:rPr>
          <w:rStyle w:val="FootnoteReference"/>
          <w:rFonts w:asciiTheme="minorHAnsi" w:eastAsia="Swis721 Lt BT" w:hAnsiTheme="minorHAnsi" w:cstheme="minorHAnsi"/>
          <w:b/>
          <w:bCs/>
          <w:sz w:val="24"/>
          <w:szCs w:val="24"/>
        </w:rPr>
        <w:footnoteReference w:customMarkFollows="1" w:id="6"/>
        <w:t>6</w:t>
      </w:r>
    </w:p>
    <w:p w14:paraId="3FF86F27" w14:textId="77777777" w:rsidR="00661A08" w:rsidRDefault="00661A08">
      <w:pPr>
        <w:spacing w:before="40" w:after="120" w:line="240" w:lineRule="auto"/>
        <w:ind w:left="475" w:hanging="475"/>
        <w:jc w:val="both"/>
        <w:rPr>
          <w:rFonts w:ascii="Swis721 Lt BT" w:eastAsia="Swis721 Lt BT" w:hAnsi="Swis721 Lt BT" w:cs="Swis721 Lt BT"/>
          <w:sz w:val="20"/>
          <w:szCs w:val="20"/>
        </w:rPr>
      </w:pPr>
    </w:p>
    <w:sectPr w:rsidR="00661A08" w:rsidSect="00FA3CC6">
      <w:headerReference w:type="default" r:id="rId11"/>
      <w:footerReference w:type="default" r:id="rId12"/>
      <w:headerReference w:type="first" r:id="rId13"/>
      <w:pgSz w:w="12240" w:h="15840"/>
      <w:pgMar w:top="171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057E" w14:textId="77777777" w:rsidR="007E78F3" w:rsidRDefault="007E78F3">
      <w:pPr>
        <w:spacing w:line="240" w:lineRule="auto"/>
      </w:pPr>
      <w:r>
        <w:separator/>
      </w:r>
    </w:p>
  </w:endnote>
  <w:endnote w:type="continuationSeparator" w:id="0">
    <w:p w14:paraId="168CFBB2" w14:textId="77777777" w:rsidR="007E78F3" w:rsidRDefault="007E7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851907"/>
      <w:docPartObj>
        <w:docPartGallery w:val="Page Numbers (Bottom of Page)"/>
        <w:docPartUnique/>
      </w:docPartObj>
    </w:sdtPr>
    <w:sdtEndPr>
      <w:rPr>
        <w:noProof/>
      </w:rPr>
    </w:sdtEndPr>
    <w:sdtContent>
      <w:p w14:paraId="08815B09" w14:textId="7194CEF6" w:rsidR="00FD183E" w:rsidRDefault="00FD18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D9E42" w14:textId="6374878F" w:rsidR="00661A08" w:rsidRDefault="00661A08">
    <w:pPr>
      <w:tabs>
        <w:tab w:val="center" w:pos="468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7634" w14:textId="77777777" w:rsidR="007E78F3" w:rsidRDefault="007E78F3">
      <w:pPr>
        <w:spacing w:line="240" w:lineRule="auto"/>
      </w:pPr>
      <w:r>
        <w:separator/>
      </w:r>
    </w:p>
  </w:footnote>
  <w:footnote w:type="continuationSeparator" w:id="0">
    <w:p w14:paraId="37367A54" w14:textId="77777777" w:rsidR="007E78F3" w:rsidRDefault="007E78F3">
      <w:pPr>
        <w:spacing w:line="240" w:lineRule="auto"/>
      </w:pPr>
      <w:r>
        <w:continuationSeparator/>
      </w:r>
    </w:p>
  </w:footnote>
  <w:footnote w:id="1">
    <w:p w14:paraId="49595F89" w14:textId="7187C5F9" w:rsidR="00F40C1B" w:rsidRPr="00FF7F2D" w:rsidRDefault="00F40C1B" w:rsidP="00FF7F2D">
      <w:pPr>
        <w:pStyle w:val="FootnoteText"/>
        <w:spacing w:after="40" w:line="259" w:lineRule="auto"/>
      </w:pPr>
      <w:r w:rsidRPr="00FF7F2D">
        <w:rPr>
          <w:rStyle w:val="FootnoteReference"/>
          <w:sz w:val="24"/>
          <w:szCs w:val="24"/>
        </w:rPr>
        <w:t>1</w:t>
      </w:r>
      <w:r w:rsidRPr="00FF7F2D">
        <w:rPr>
          <w:sz w:val="24"/>
          <w:szCs w:val="24"/>
        </w:rPr>
        <w:t xml:space="preserve"> </w:t>
      </w:r>
      <w:r>
        <w:t xml:space="preserve">More than one </w:t>
      </w:r>
      <w:r w:rsidRPr="00FF7F2D">
        <w:t>technical review committee may be established. If creating more than one TRC, the regulations shall define the role and responsibilities of each TRC consistent with the provisions of RIGL §45-23-50.</w:t>
      </w:r>
    </w:p>
  </w:footnote>
  <w:footnote w:id="2">
    <w:p w14:paraId="6C8F1895" w14:textId="30B876E5" w:rsidR="00FF7F2D" w:rsidRPr="00FF7F2D" w:rsidRDefault="00FF7F2D" w:rsidP="00FF7F2D">
      <w:pPr>
        <w:spacing w:after="40"/>
        <w:jc w:val="both"/>
        <w:rPr>
          <w:color w:val="000000"/>
          <w:sz w:val="20"/>
          <w:szCs w:val="20"/>
          <w:vertAlign w:val="superscript"/>
        </w:rPr>
      </w:pPr>
      <w:r w:rsidRPr="00FF7F2D">
        <w:rPr>
          <w:rStyle w:val="FootnoteReference"/>
          <w:sz w:val="24"/>
          <w:szCs w:val="24"/>
        </w:rPr>
        <w:t>2</w:t>
      </w:r>
      <w:r w:rsidRPr="00FF7F2D">
        <w:rPr>
          <w:sz w:val="20"/>
          <w:szCs w:val="20"/>
        </w:rPr>
        <w:t xml:space="preserve"> RIGL §45-23-56(a) and (b) requires that a technical review committee is established by the municipality, which generally means the City or Town </w:t>
      </w:r>
      <w:proofErr w:type="gramStart"/>
      <w:r w:rsidRPr="00FF7F2D">
        <w:rPr>
          <w:sz w:val="20"/>
          <w:szCs w:val="20"/>
        </w:rPr>
        <w:t>Council;</w:t>
      </w:r>
      <w:proofErr w:type="gramEnd"/>
      <w:r w:rsidRPr="00FF7F2D">
        <w:rPr>
          <w:sz w:val="20"/>
          <w:szCs w:val="20"/>
        </w:rPr>
        <w:t xml:space="preserve"> check Charter and Ordinances.  </w:t>
      </w:r>
    </w:p>
  </w:footnote>
  <w:footnote w:id="3">
    <w:p w14:paraId="6D03AC47" w14:textId="77777777" w:rsidR="00FF7F2D" w:rsidRDefault="00FF7F2D" w:rsidP="00FF7F2D">
      <w:pPr>
        <w:spacing w:after="40"/>
        <w:jc w:val="both"/>
        <w:rPr>
          <w:color w:val="000000"/>
          <w:sz w:val="20"/>
          <w:szCs w:val="20"/>
          <w:vertAlign w:val="superscript"/>
        </w:rPr>
      </w:pPr>
      <w:r w:rsidRPr="00FF7F2D">
        <w:rPr>
          <w:rStyle w:val="FootnoteReference"/>
          <w:sz w:val="24"/>
          <w:szCs w:val="24"/>
        </w:rPr>
        <w:t>3</w:t>
      </w:r>
      <w:r w:rsidRPr="00FF7F2D">
        <w:rPr>
          <w:sz w:val="24"/>
          <w:szCs w:val="24"/>
        </w:rPr>
        <w:t xml:space="preserve"> </w:t>
      </w:r>
      <w:r w:rsidRPr="00FF7F2D">
        <w:rPr>
          <w:sz w:val="20"/>
          <w:szCs w:val="20"/>
        </w:rPr>
        <w:t>RIGL §45-23-62 requires no less than three (3) members, which may include but is not limited to members of the planning board, planning department staff, other municipal staff representing departments with responsibility for review or enforcement, conservation commissioners, public members, or other duly appointed local public commission members</w:t>
      </w:r>
      <w:r>
        <w:rPr>
          <w:sz w:val="20"/>
          <w:szCs w:val="20"/>
        </w:rPr>
        <w:t xml:space="preserve">.  </w:t>
      </w:r>
    </w:p>
    <w:p w14:paraId="40F51E6C" w14:textId="77777777" w:rsidR="00FF7F2D" w:rsidRDefault="00FF7F2D" w:rsidP="00FF7F2D">
      <w:pPr>
        <w:pStyle w:val="FootnoteText"/>
      </w:pPr>
    </w:p>
  </w:footnote>
  <w:footnote w:id="4">
    <w:p w14:paraId="75BF0D02" w14:textId="606C51A9" w:rsidR="00FF7F2D" w:rsidRDefault="00FF7F2D" w:rsidP="00FF7F2D">
      <w:pPr>
        <w:spacing w:after="40"/>
        <w:jc w:val="both"/>
        <w:rPr>
          <w:color w:val="000000"/>
          <w:sz w:val="20"/>
          <w:szCs w:val="20"/>
          <w:vertAlign w:val="superscript"/>
        </w:rPr>
      </w:pPr>
      <w:r w:rsidRPr="00FF7F2D">
        <w:rPr>
          <w:rStyle w:val="FootnoteReference"/>
          <w:sz w:val="24"/>
          <w:szCs w:val="24"/>
        </w:rPr>
        <w:t>4</w:t>
      </w:r>
      <w:r w:rsidRPr="00FF7F2D">
        <w:rPr>
          <w:sz w:val="24"/>
          <w:szCs w:val="24"/>
        </w:rPr>
        <w:t xml:space="preserve"> </w:t>
      </w:r>
      <w:r>
        <w:rPr>
          <w:sz w:val="20"/>
          <w:szCs w:val="20"/>
        </w:rPr>
        <w:t>RIGL 45-23-38(3)(h)(1)  and RIGL 45-23-39(f)(1) permits the administrative officer to request a recommendation on modifications or changes from either the TRC or the permitting authority.</w:t>
      </w:r>
    </w:p>
  </w:footnote>
  <w:footnote w:id="5">
    <w:p w14:paraId="313735D6" w14:textId="15BD799C" w:rsidR="00FF7F2D" w:rsidRDefault="00FF7F2D" w:rsidP="00FF7F2D">
      <w:pPr>
        <w:spacing w:after="40"/>
        <w:jc w:val="both"/>
        <w:rPr>
          <w:color w:val="000000"/>
          <w:sz w:val="20"/>
          <w:szCs w:val="20"/>
          <w:vertAlign w:val="superscript"/>
        </w:rPr>
      </w:pPr>
      <w:r w:rsidRPr="00FF7F2D">
        <w:rPr>
          <w:rStyle w:val="FootnoteReference"/>
          <w:sz w:val="24"/>
          <w:szCs w:val="24"/>
        </w:rPr>
        <w:t>5</w:t>
      </w:r>
      <w:r w:rsidRPr="00FF7F2D">
        <w:rPr>
          <w:sz w:val="24"/>
          <w:szCs w:val="24"/>
        </w:rPr>
        <w:t xml:space="preserve"> </w:t>
      </w:r>
      <w:r>
        <w:rPr>
          <w:sz w:val="20"/>
          <w:szCs w:val="20"/>
        </w:rPr>
        <w:t>RIGL 45-23-38(g) allows for either the TRC or the administrative officer to approve final plans for minor land development and subdivisions. Municipalities can decide to permit the administrative officer to make these determinations in place of the TRC.</w:t>
      </w:r>
    </w:p>
  </w:footnote>
  <w:footnote w:id="6">
    <w:p w14:paraId="41E74E25" w14:textId="42EFB6A7" w:rsidR="00FF7F2D" w:rsidRDefault="00FF7F2D" w:rsidP="00FF7F2D">
      <w:pPr>
        <w:spacing w:after="40"/>
        <w:jc w:val="both"/>
        <w:rPr>
          <w:color w:val="000000"/>
          <w:sz w:val="20"/>
          <w:szCs w:val="20"/>
          <w:vertAlign w:val="superscript"/>
        </w:rPr>
      </w:pPr>
      <w:r w:rsidRPr="00FF7F2D">
        <w:rPr>
          <w:rStyle w:val="FootnoteReference"/>
          <w:sz w:val="24"/>
          <w:szCs w:val="24"/>
        </w:rPr>
        <w:t>6</w:t>
      </w:r>
      <w:r w:rsidRPr="00FF7F2D">
        <w:rPr>
          <w:sz w:val="24"/>
          <w:szCs w:val="24"/>
        </w:rPr>
        <w:t xml:space="preserve"> </w:t>
      </w:r>
      <w:r>
        <w:rPr>
          <w:sz w:val="20"/>
          <w:szCs w:val="20"/>
        </w:rPr>
        <w:t>RIGL 45-23-50(a) allows for the TRC or the planning board to be designated as the permitting authority for formal DPR applications that do not undergo unified development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1224" w14:textId="77777777" w:rsidR="00661A08" w:rsidRDefault="00102F34">
    <w:pPr>
      <w:spacing w:line="240" w:lineRule="auto"/>
    </w:pPr>
    <w:r>
      <w:rPr>
        <w:b/>
        <w:bCs/>
      </w:rPr>
      <w:t>Subdivision and Land Development Regulations</w:t>
    </w:r>
    <w:r>
      <w:rPr>
        <w:b/>
        <w:bCs/>
      </w:rPr>
      <w:tab/>
    </w:r>
    <w:r>
      <w:rPr>
        <w:b/>
        <w:bCs/>
      </w:rPr>
      <w:tab/>
    </w:r>
    <w:r>
      <w:rPr>
        <w:b/>
        <w:bCs/>
      </w:rPr>
      <w:tab/>
    </w:r>
    <w:r>
      <w:rPr>
        <w:b/>
        <w:bCs/>
      </w:rPr>
      <w:tab/>
      <w:t xml:space="preserve">                            9/8/23</w:t>
    </w:r>
  </w:p>
  <w:p w14:paraId="64CDC4CB" w14:textId="77777777" w:rsidR="00661A08" w:rsidRDefault="00102F34">
    <w:pPr>
      <w:spacing w:line="240" w:lineRule="auto"/>
    </w:pPr>
    <w:r>
      <w:rPr>
        <w:b/>
        <w:bCs/>
      </w:rPr>
      <w:t>H- 6061-A, S-1034-A</w:t>
    </w:r>
  </w:p>
  <w:p w14:paraId="45039828" w14:textId="77777777" w:rsidR="00661A08" w:rsidRDefault="00102F34">
    <w:pPr>
      <w:spacing w:line="240" w:lineRule="auto"/>
    </w:pPr>
    <w:r>
      <w:rPr>
        <w:b/>
        <w:bCs/>
      </w:rPr>
      <w:t>Technical Review Committee Template</w:t>
    </w:r>
  </w:p>
  <w:p w14:paraId="35F10C66" w14:textId="77777777" w:rsidR="00661A08" w:rsidRDefault="00102F34">
    <w:pPr>
      <w:spacing w:line="240" w:lineRule="auto"/>
      <w:ind w:left="7920" w:hanging="1890"/>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9B0A" w14:textId="7A034DE7" w:rsidR="00FA3CC6" w:rsidRDefault="00FA3CC6" w:rsidP="00FA3CC6">
    <w:pPr>
      <w:spacing w:line="240" w:lineRule="auto"/>
      <w:ind w:firstLine="3240"/>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3A64E4FC" wp14:editId="140B84EB">
          <wp:simplePos x="0" y="0"/>
          <wp:positionH relativeFrom="column">
            <wp:posOffset>0</wp:posOffset>
          </wp:positionH>
          <wp:positionV relativeFrom="paragraph">
            <wp:posOffset>-258445</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Subdivision and Land Development Regulations                     9/8/23</w:t>
    </w:r>
  </w:p>
  <w:p w14:paraId="06DD9CA3" w14:textId="0218298B" w:rsidR="00FA3CC6" w:rsidRDefault="00FA3CC6" w:rsidP="00FA3CC6">
    <w:pPr>
      <w:spacing w:line="240" w:lineRule="auto"/>
      <w:ind w:firstLine="3240"/>
    </w:pPr>
    <w:r>
      <w:rPr>
        <w:b/>
        <w:bCs/>
      </w:rPr>
      <w:t>H- 6061-A, S-1034-A</w:t>
    </w:r>
  </w:p>
  <w:p w14:paraId="7ECED00F" w14:textId="77777777" w:rsidR="00FA3CC6" w:rsidRDefault="00FA3CC6" w:rsidP="00FA3CC6">
    <w:pPr>
      <w:spacing w:line="240" w:lineRule="auto"/>
      <w:ind w:firstLine="3240"/>
    </w:pPr>
    <w:r>
      <w:rPr>
        <w:b/>
        <w:bCs/>
      </w:rPr>
      <w:t>Technical Review Committee Template</w:t>
    </w:r>
  </w:p>
  <w:p w14:paraId="74230D59" w14:textId="0781D19A" w:rsidR="00FA3CC6" w:rsidRDefault="00FA3CC6" w:rsidP="00FA3CC6">
    <w:pPr>
      <w:pStyle w:val="Header"/>
      <w:ind w:firstLine="35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80BE82"/>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Swis721 Lt BT" w:eastAsia="Swis721 Lt BT" w:hAnsi="Swis721 Lt BT" w:cs="Swis721 Lt BT"/>
        <w:i/>
        <w:iC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50B82A9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rPr>
        <w:rFonts w:ascii="Swis721 Lt BT" w:hAnsi="Swis721 Lt BT"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40532653">
    <w:abstractNumId w:val="0"/>
  </w:num>
  <w:num w:numId="2" w16cid:durableId="1580022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yszA2MzExtTQ1N7NQ0lEKTi0uzszPAykwqgUAFKoUjywAAAA="/>
  </w:docVars>
  <w:rsids>
    <w:rsidRoot w:val="00661A08"/>
    <w:rsid w:val="00102F34"/>
    <w:rsid w:val="00153C1C"/>
    <w:rsid w:val="002067C7"/>
    <w:rsid w:val="00661A08"/>
    <w:rsid w:val="007E78F3"/>
    <w:rsid w:val="00905C6A"/>
    <w:rsid w:val="00EA461F"/>
    <w:rsid w:val="00F40C1B"/>
    <w:rsid w:val="00FA3CC6"/>
    <w:rsid w:val="00FD183E"/>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458E"/>
  <w15:docId w15:val="{56CC78E5-40E6-4691-9E0A-939C00A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905C6A"/>
    <w:rPr>
      <w:b/>
      <w:bCs/>
    </w:rPr>
  </w:style>
  <w:style w:type="character" w:customStyle="1" w:styleId="CommentSubjectChar">
    <w:name w:val="Comment Subject Char"/>
    <w:basedOn w:val="CommentTextChar"/>
    <w:link w:val="CommentSubject"/>
    <w:uiPriority w:val="99"/>
    <w:semiHidden/>
    <w:rsid w:val="00905C6A"/>
    <w:rPr>
      <w:rFonts w:ascii="Calibri" w:eastAsia="Calibri" w:hAnsi="Calibri" w:cs="Calibri"/>
      <w:b/>
      <w:bCs/>
    </w:rPr>
  </w:style>
  <w:style w:type="paragraph" w:styleId="Header">
    <w:name w:val="header"/>
    <w:basedOn w:val="Normal"/>
    <w:link w:val="HeaderChar"/>
    <w:uiPriority w:val="99"/>
    <w:unhideWhenUsed/>
    <w:rsid w:val="00FD183E"/>
    <w:pPr>
      <w:tabs>
        <w:tab w:val="center" w:pos="4680"/>
        <w:tab w:val="right" w:pos="9360"/>
      </w:tabs>
      <w:spacing w:line="240" w:lineRule="auto"/>
    </w:pPr>
  </w:style>
  <w:style w:type="character" w:customStyle="1" w:styleId="HeaderChar">
    <w:name w:val="Header Char"/>
    <w:basedOn w:val="DefaultParagraphFont"/>
    <w:link w:val="Header"/>
    <w:uiPriority w:val="99"/>
    <w:rsid w:val="00FD183E"/>
    <w:rPr>
      <w:rFonts w:ascii="Calibri" w:eastAsia="Calibri" w:hAnsi="Calibri" w:cs="Calibri"/>
      <w:sz w:val="22"/>
      <w:szCs w:val="22"/>
    </w:rPr>
  </w:style>
  <w:style w:type="paragraph" w:styleId="Footer">
    <w:name w:val="footer"/>
    <w:basedOn w:val="Normal"/>
    <w:link w:val="FooterChar"/>
    <w:uiPriority w:val="99"/>
    <w:unhideWhenUsed/>
    <w:rsid w:val="00FD183E"/>
    <w:pPr>
      <w:tabs>
        <w:tab w:val="center" w:pos="4680"/>
        <w:tab w:val="right" w:pos="9360"/>
      </w:tabs>
      <w:spacing w:line="240" w:lineRule="auto"/>
    </w:pPr>
  </w:style>
  <w:style w:type="character" w:customStyle="1" w:styleId="FooterChar">
    <w:name w:val="Footer Char"/>
    <w:basedOn w:val="DefaultParagraphFont"/>
    <w:link w:val="Footer"/>
    <w:uiPriority w:val="99"/>
    <w:rsid w:val="00FD183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B2ED8-9612-47F5-922A-B062C04D2DB7}">
  <ds:schemaRefs>
    <ds:schemaRef ds:uri="http://schemas.openxmlformats.org/officeDocument/2006/bibliography"/>
  </ds:schemaRefs>
</ds:datastoreItem>
</file>

<file path=customXml/itemProps2.xml><?xml version="1.0" encoding="utf-8"?>
<ds:datastoreItem xmlns:ds="http://schemas.openxmlformats.org/officeDocument/2006/customXml" ds:itemID="{C632BFCA-B7E8-443B-9246-AECCE694DEE3}">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3.xml><?xml version="1.0" encoding="utf-8"?>
<ds:datastoreItem xmlns:ds="http://schemas.openxmlformats.org/officeDocument/2006/customXml" ds:itemID="{9F03EE6D-9E97-4B03-BC32-5629AEEA08F1}">
  <ds:schemaRefs>
    <ds:schemaRef ds:uri="http://schemas.microsoft.com/sharepoint/v3/contenttype/forms"/>
  </ds:schemaRefs>
</ds:datastoreItem>
</file>

<file path=customXml/itemProps4.xml><?xml version="1.0" encoding="utf-8"?>
<ds:datastoreItem xmlns:ds="http://schemas.openxmlformats.org/officeDocument/2006/customXml" ds:itemID="{DF58B0B1-B60E-4540-A87C-1F8CCE4AD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dc:creator>
  <cp:lastModifiedBy>HeeJin Kim</cp:lastModifiedBy>
  <cp:revision>3</cp:revision>
  <dcterms:created xsi:type="dcterms:W3CDTF">2023-09-19T14:24:00Z</dcterms:created>
  <dcterms:modified xsi:type="dcterms:W3CDTF">2023-09-21T19:40:00Z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