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65A6" w14:textId="77777777" w:rsidR="00992FDF" w:rsidRDefault="00580D40">
      <w:pPr>
        <w:spacing w:line="240" w:lineRule="auto"/>
        <w:jc w:val="both"/>
        <w:rPr>
          <w:sz w:val="20"/>
          <w:szCs w:val="20"/>
        </w:rPr>
      </w:pPr>
      <w:r>
        <w:rPr>
          <w:rFonts w:ascii="Swis721 Lt BT" w:eastAsia="Swis721 Lt BT" w:hAnsi="Swis721 Lt BT" w:cs="Swis721 Lt BT"/>
          <w:b/>
          <w:bCs/>
          <w:sz w:val="20"/>
          <w:szCs w:val="20"/>
        </w:rPr>
        <w:t xml:space="preserve">There was a separate “notice and hearing” bill passed that includes additional requirements (see H 6086 A / S 1038 A); both bills are addressed in this template.   </w:t>
      </w:r>
    </w:p>
    <w:p w14:paraId="2848509F" w14:textId="77777777" w:rsidR="00992FDF" w:rsidRDefault="00992FDF">
      <w:pPr>
        <w:spacing w:line="240" w:lineRule="auto"/>
        <w:jc w:val="both"/>
        <w:rPr>
          <w:rFonts w:ascii="Swis721 Lt BT" w:eastAsia="Swis721 Lt BT" w:hAnsi="Swis721 Lt BT" w:cs="Swis721 Lt BT"/>
          <w:i/>
          <w:iCs/>
          <w:sz w:val="20"/>
          <w:szCs w:val="20"/>
        </w:rPr>
      </w:pPr>
    </w:p>
    <w:p w14:paraId="7949A9E4" w14:textId="77777777" w:rsidR="00992FDF" w:rsidRDefault="00580D40">
      <w:pPr>
        <w:spacing w:after="160"/>
        <w:jc w:val="both"/>
        <w:rPr>
          <w:sz w:val="20"/>
          <w:szCs w:val="20"/>
        </w:rPr>
      </w:pPr>
      <w:r>
        <w:rPr>
          <w:rFonts w:ascii="Swis721 Lt BT" w:eastAsia="Swis721 Lt BT" w:hAnsi="Swis721 Lt BT" w:cs="Swis721 Lt BT"/>
          <w:i/>
          <w:iCs/>
          <w:color w:val="C00000"/>
          <w:sz w:val="20"/>
          <w:szCs w:val="20"/>
        </w:rPr>
        <w:t>1.1  Major land development and major subdivision – public hearing and notice.</w:t>
      </w:r>
    </w:p>
    <w:p w14:paraId="1A0790A2" w14:textId="77777777" w:rsidR="00992FDF" w:rsidRDefault="00580D40">
      <w:pPr>
        <w:numPr>
          <w:ilvl w:val="0"/>
          <w:numId w:val="1"/>
        </w:numPr>
        <w:pBdr>
          <w:left w:val="none" w:sz="0" w:space="5" w:color="auto"/>
        </w:pBdr>
        <w:spacing w:after="160"/>
        <w:ind w:hanging="353"/>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Where a public hearing is required pursuant to the Regulations, the following requirements shall apply;</w:t>
      </w:r>
    </w:p>
    <w:p w14:paraId="2F44539F" w14:textId="77777777" w:rsidR="00992FDF" w:rsidRDefault="00580D40">
      <w:pPr>
        <w:numPr>
          <w:ilvl w:val="0"/>
          <w:numId w:val="2"/>
        </w:numPr>
        <w:pBdr>
          <w:left w:val="none" w:sz="0" w:space="5" w:color="auto"/>
        </w:pBdr>
        <w:spacing w:after="160"/>
        <w:ind w:left="108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Notice requirements.   Public notice of the hearing shall be given at least fourteen (14) days prior to the date of the hearing in a newspaper of local circulation within the municipality following the municipality’s usual and customary practices for this kind of advertising.  The same notice shall be posted in the [CITY/TOWN] clerk’s office and one other municipal building in the municipality and the municipality must make the notice accessible on their municipal home page of its website at least fourteen (14) days prior to the hearing. Notice shall be sent to the applicant and to each owner within the notice area, by first class mail, of the time and place of the hearing not less than ten (10) days prior to the date of the hearing. Notice shall also be sent to any individual or entity holding a recorded conservation or preservation restriction on the property that is the subject of the application at least fourteen (14) days prior to the hearing. The notice shall also include the street address of the subject property, or if no street address is available, the distance from the nearest existing intersection in tenths (1/10’s) of a mile.</w:t>
      </w:r>
      <w:r w:rsidRPr="005B260A">
        <w:rPr>
          <w:b/>
          <w:bCs/>
          <w:color w:val="000000"/>
          <w:sz w:val="24"/>
          <w:szCs w:val="24"/>
          <w:vertAlign w:val="superscript"/>
        </w:rPr>
        <w:footnoteReference w:id="1"/>
      </w:r>
      <w:r w:rsidRPr="005B260A">
        <w:rPr>
          <w:rFonts w:ascii="Swis721 Lt BT" w:eastAsia="Swis721 Lt BT" w:hAnsi="Swis721 Lt BT" w:cs="Swis721 Lt BT"/>
          <w:b/>
          <w:bCs/>
          <w:color w:val="000000"/>
          <w:sz w:val="24"/>
          <w:szCs w:val="24"/>
        </w:rPr>
        <w:t xml:space="preserve"> </w:t>
      </w:r>
    </w:p>
    <w:p w14:paraId="6B48BA26" w14:textId="77777777" w:rsidR="00992FDF" w:rsidRDefault="00580D40">
      <w:pPr>
        <w:numPr>
          <w:ilvl w:val="0"/>
          <w:numId w:val="2"/>
        </w:numPr>
        <w:pBdr>
          <w:left w:val="none" w:sz="0" w:space="5" w:color="auto"/>
        </w:pBdr>
        <w:ind w:left="1080" w:hanging="358"/>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Notice area.</w:t>
      </w:r>
    </w:p>
    <w:p w14:paraId="601A3744" w14:textId="77777777" w:rsidR="00992FDF" w:rsidRDefault="00580D40">
      <w:pPr>
        <w:numPr>
          <w:ilvl w:val="1"/>
          <w:numId w:val="2"/>
        </w:numPr>
        <w:pBdr>
          <w:left w:val="none" w:sz="0" w:space="13" w:color="auto"/>
        </w:pBdr>
        <w:spacing w:after="160"/>
        <w:ind w:left="1800" w:hanging="46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The distance(s) for notice of the public hearing shall be [INSERT ______ feet from project site].</w:t>
      </w:r>
      <w:r w:rsidRPr="005B260A">
        <w:rPr>
          <w:b/>
          <w:bCs/>
          <w:color w:val="000000"/>
          <w:sz w:val="24"/>
          <w:szCs w:val="24"/>
          <w:vertAlign w:val="superscript"/>
        </w:rPr>
        <w:footnoteReference w:id="2"/>
      </w:r>
      <w:r w:rsidRPr="005B260A">
        <w:rPr>
          <w:rFonts w:ascii="Swis721 Lt BT" w:eastAsia="Swis721 Lt BT" w:hAnsi="Swis721 Lt BT" w:cs="Swis721 Lt BT"/>
          <w:b/>
          <w:bCs/>
          <w:color w:val="000000"/>
          <w:sz w:val="24"/>
          <w:szCs w:val="24"/>
        </w:rPr>
        <w:t xml:space="preserve"> </w:t>
      </w:r>
    </w:p>
    <w:p w14:paraId="68C72875" w14:textId="77777777" w:rsidR="00992FDF" w:rsidRDefault="00580D40">
      <w:pPr>
        <w:numPr>
          <w:ilvl w:val="1"/>
          <w:numId w:val="2"/>
        </w:numPr>
        <w:pBdr>
          <w:left w:val="none" w:sz="0" w:space="13" w:color="auto"/>
        </w:pBdr>
        <w:spacing w:after="160"/>
        <w:ind w:left="1800" w:hanging="521"/>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Watersheds. Additional notice within watersheds shall also be sent as required in RIGL §45-23-53(b) and (c).</w:t>
      </w:r>
    </w:p>
    <w:p w14:paraId="3B67FAE7" w14:textId="77777777" w:rsidR="00992FDF" w:rsidRDefault="00580D40">
      <w:pPr>
        <w:numPr>
          <w:ilvl w:val="1"/>
          <w:numId w:val="2"/>
        </w:numPr>
        <w:pBdr>
          <w:left w:val="none" w:sz="0" w:space="13" w:color="auto"/>
        </w:pBdr>
        <w:spacing w:after="160"/>
        <w:ind w:left="1800" w:hanging="577"/>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Adjacent municipalities. Notice of the public hearing shall be sent by the administrative officer to the administrative officer of an adjacent municipality if (1) the notice area extends into the adjacent municipality, or (2) the development site extends into the adjacent municipality, or (3) there is a potential for significant negative impact on the adjacent municipality.</w:t>
      </w:r>
    </w:p>
    <w:p w14:paraId="1F114710" w14:textId="77777777" w:rsidR="00992FDF" w:rsidRDefault="00580D40">
      <w:pPr>
        <w:numPr>
          <w:ilvl w:val="1"/>
          <w:numId w:val="2"/>
        </w:numPr>
        <w:pBdr>
          <w:left w:val="none" w:sz="0" w:space="13" w:color="auto"/>
        </w:pBdr>
        <w:spacing w:after="160"/>
        <w:ind w:left="1800" w:hanging="566"/>
        <w:jc w:val="both"/>
        <w:rPr>
          <w:rFonts w:ascii="Swis721 Lt BT" w:eastAsia="Swis721 Lt BT" w:hAnsi="Swis721 Lt BT" w:cs="Swis721 Lt BT"/>
          <w:color w:val="C00000"/>
          <w:sz w:val="20"/>
          <w:szCs w:val="20"/>
        </w:rPr>
      </w:pPr>
      <w:r>
        <w:rPr>
          <w:rFonts w:ascii="Swis721 Lt BT" w:eastAsia="Swis721 Lt BT" w:hAnsi="Swis721 Lt BT" w:cs="Swis721 Lt BT"/>
          <w:color w:val="C00000"/>
          <w:sz w:val="20"/>
          <w:szCs w:val="20"/>
        </w:rPr>
        <w:t>Notice cost. The cost of all newspaper and mailing notices shall be borne by the applicant.</w:t>
      </w:r>
    </w:p>
    <w:p w14:paraId="74DFEDCD" w14:textId="77777777" w:rsidR="00992FDF" w:rsidRDefault="00992FDF">
      <w:pPr>
        <w:spacing w:after="160"/>
        <w:ind w:left="1800"/>
        <w:rPr>
          <w:color w:val="C00000"/>
        </w:rPr>
      </w:pPr>
    </w:p>
    <w:sectPr w:rsidR="00992FDF">
      <w:headerReference w:type="default" r:id="rId10"/>
      <w:footerReference w:type="default" r:id="rId11"/>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1A75" w14:textId="77777777" w:rsidR="00607446" w:rsidRDefault="00607446">
      <w:pPr>
        <w:spacing w:line="240" w:lineRule="auto"/>
      </w:pPr>
      <w:r>
        <w:separator/>
      </w:r>
    </w:p>
  </w:endnote>
  <w:endnote w:type="continuationSeparator" w:id="0">
    <w:p w14:paraId="642EEFCD" w14:textId="77777777" w:rsidR="00607446" w:rsidRDefault="00607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174238"/>
      <w:docPartObj>
        <w:docPartGallery w:val="Page Numbers (Bottom of Page)"/>
        <w:docPartUnique/>
      </w:docPartObj>
    </w:sdtPr>
    <w:sdtEndPr>
      <w:rPr>
        <w:noProof/>
      </w:rPr>
    </w:sdtEndPr>
    <w:sdtContent>
      <w:p w14:paraId="5B2948B8" w14:textId="3431CD2C" w:rsidR="005B260A" w:rsidRDefault="005B2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9AF4B" w14:textId="77777777" w:rsidR="005B260A" w:rsidRDefault="005B2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8A27" w14:textId="77777777" w:rsidR="00607446" w:rsidRDefault="00607446">
      <w:pPr>
        <w:spacing w:line="240" w:lineRule="auto"/>
      </w:pPr>
      <w:r>
        <w:separator/>
      </w:r>
    </w:p>
  </w:footnote>
  <w:footnote w:type="continuationSeparator" w:id="0">
    <w:p w14:paraId="029D24A9" w14:textId="77777777" w:rsidR="00607446" w:rsidRDefault="00607446">
      <w:pPr>
        <w:spacing w:line="240" w:lineRule="auto"/>
      </w:pPr>
      <w:r>
        <w:continuationSeparator/>
      </w:r>
    </w:p>
  </w:footnote>
  <w:footnote w:id="1">
    <w:p w14:paraId="5C31E781" w14:textId="4B123199" w:rsidR="00992FDF" w:rsidRPr="005B260A" w:rsidRDefault="00580D40">
      <w:pPr>
        <w:spacing w:before="60" w:after="60" w:line="240" w:lineRule="auto"/>
        <w:jc w:val="both"/>
        <w:rPr>
          <w:color w:val="000000"/>
          <w:sz w:val="18"/>
          <w:szCs w:val="18"/>
          <w:vertAlign w:val="superscript"/>
        </w:rPr>
      </w:pPr>
      <w:r>
        <w:rPr>
          <w:rStyle w:val="FootnoteReference"/>
          <w:color w:val="000000"/>
          <w:sz w:val="24"/>
          <w:szCs w:val="24"/>
        </w:rPr>
        <w:footnoteRef/>
      </w:r>
      <w:r>
        <w:rPr>
          <w:sz w:val="24"/>
          <w:szCs w:val="24"/>
        </w:rPr>
        <w:t xml:space="preserve"> </w:t>
      </w:r>
      <w:r w:rsidRPr="005B260A">
        <w:rPr>
          <w:sz w:val="18"/>
          <w:szCs w:val="18"/>
        </w:rPr>
        <w:t>RIGL §45-23-42 may require “a supplemental notice that an application for development approval is under consideration be posted at the location in question. The posting is for informational purposes only and does not constitute required notice of a public hearing.”</w:t>
      </w:r>
    </w:p>
  </w:footnote>
  <w:footnote w:id="2">
    <w:p w14:paraId="018B19A2" w14:textId="77777777" w:rsidR="00992FDF" w:rsidRDefault="00580D40">
      <w:pPr>
        <w:spacing w:before="60" w:after="60" w:line="240" w:lineRule="auto"/>
        <w:jc w:val="both"/>
        <w:rPr>
          <w:color w:val="000000"/>
          <w:sz w:val="24"/>
          <w:szCs w:val="24"/>
          <w:vertAlign w:val="superscript"/>
        </w:rPr>
      </w:pPr>
      <w:r w:rsidRPr="005B260A">
        <w:rPr>
          <w:rStyle w:val="FootnoteReference"/>
          <w:color w:val="000000"/>
          <w:sz w:val="24"/>
          <w:szCs w:val="24"/>
        </w:rPr>
        <w:footnoteRef/>
      </w:r>
      <w:r w:rsidRPr="005B260A">
        <w:rPr>
          <w:sz w:val="24"/>
          <w:szCs w:val="24"/>
        </w:rPr>
        <w:t xml:space="preserve"> </w:t>
      </w:r>
      <w:r w:rsidRPr="005B260A">
        <w:rPr>
          <w:sz w:val="18"/>
          <w:szCs w:val="18"/>
        </w:rPr>
        <w:t>The legislation further states that the distance may differ by zoning district and scale of development. At a minimum, all abutting property owners to the proposed development’s property boundary shall receive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7EBD" w14:textId="2E998F0B" w:rsidR="005B260A" w:rsidRDefault="00E52336" w:rsidP="00E52336">
    <w:pPr>
      <w:spacing w:line="240" w:lineRule="auto"/>
      <w:ind w:firstLine="3060"/>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7FCF33E5" wp14:editId="4C177C10">
          <wp:simplePos x="0" y="0"/>
          <wp:positionH relativeFrom="column">
            <wp:posOffset>-177800</wp:posOffset>
          </wp:positionH>
          <wp:positionV relativeFrom="paragraph">
            <wp:posOffset>-241935</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260A">
      <w:rPr>
        <w:b/>
        <w:bCs/>
      </w:rPr>
      <w:t xml:space="preserve">Development Regulations </w:t>
    </w:r>
    <w:r w:rsidR="005B260A">
      <w:rPr>
        <w:b/>
        <w:bCs/>
      </w:rPr>
      <w:tab/>
    </w:r>
    <w:r w:rsidR="005B260A">
      <w:rPr>
        <w:b/>
        <w:bCs/>
      </w:rPr>
      <w:tab/>
    </w:r>
    <w:r w:rsidR="005B260A">
      <w:rPr>
        <w:b/>
        <w:bCs/>
      </w:rPr>
      <w:tab/>
    </w:r>
    <w:r w:rsidR="005B260A">
      <w:rPr>
        <w:b/>
        <w:bCs/>
      </w:rPr>
      <w:tab/>
      <w:t xml:space="preserve">           9/16/23</w:t>
    </w:r>
  </w:p>
  <w:p w14:paraId="2A8AE3F7" w14:textId="64C93456" w:rsidR="005B260A" w:rsidRDefault="005B260A" w:rsidP="00E52336">
    <w:pPr>
      <w:spacing w:line="240" w:lineRule="auto"/>
      <w:ind w:firstLine="3060"/>
    </w:pPr>
    <w:r>
      <w:rPr>
        <w:b/>
        <w:bCs/>
      </w:rPr>
      <w:t>H 6061 A, S 1034 A</w:t>
    </w:r>
  </w:p>
  <w:p w14:paraId="2D584343" w14:textId="6A8D5BEF" w:rsidR="005B260A" w:rsidRDefault="005B260A" w:rsidP="00E52336">
    <w:pPr>
      <w:spacing w:line="240" w:lineRule="auto"/>
      <w:ind w:firstLine="3060"/>
    </w:pPr>
    <w:r>
      <w:rPr>
        <w:b/>
        <w:bCs/>
      </w:rPr>
      <w:t>Public Hearing - Final</w:t>
    </w:r>
  </w:p>
  <w:p w14:paraId="401EDBBF" w14:textId="77777777" w:rsidR="005B260A" w:rsidRDefault="005B2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32281891">
    <w:abstractNumId w:val="0"/>
  </w:num>
  <w:num w:numId="2" w16cid:durableId="106156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S2MDIyM7YwNDFT0lEKTi0uzszPAykwqgUABIMOriwAAAA="/>
  </w:docVars>
  <w:rsids>
    <w:rsidRoot w:val="00992FDF"/>
    <w:rsid w:val="00580D40"/>
    <w:rsid w:val="005B260A"/>
    <w:rsid w:val="00607446"/>
    <w:rsid w:val="00720AFA"/>
    <w:rsid w:val="00992FDF"/>
    <w:rsid w:val="00E52336"/>
    <w:rsid w:val="00E9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1761"/>
  <w15:docId w15:val="{56CC78E5-40E6-4691-9E0A-939C00A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paragraph" w:styleId="Revision">
    <w:name w:val="Revision"/>
    <w:hidden/>
    <w:uiPriority w:val="99"/>
    <w:semiHidden/>
    <w:rsid w:val="00720AFA"/>
    <w:rPr>
      <w:rFonts w:ascii="Calibri" w:eastAsia="Calibri" w:hAnsi="Calibri" w:cs="Calibri"/>
      <w:sz w:val="22"/>
      <w:szCs w:val="22"/>
    </w:rPr>
  </w:style>
  <w:style w:type="paragraph" w:styleId="Header">
    <w:name w:val="header"/>
    <w:basedOn w:val="Normal"/>
    <w:link w:val="HeaderChar"/>
    <w:uiPriority w:val="99"/>
    <w:unhideWhenUsed/>
    <w:rsid w:val="005B260A"/>
    <w:pPr>
      <w:tabs>
        <w:tab w:val="center" w:pos="4680"/>
        <w:tab w:val="right" w:pos="9360"/>
      </w:tabs>
      <w:spacing w:line="240" w:lineRule="auto"/>
    </w:pPr>
  </w:style>
  <w:style w:type="character" w:customStyle="1" w:styleId="HeaderChar">
    <w:name w:val="Header Char"/>
    <w:basedOn w:val="DefaultParagraphFont"/>
    <w:link w:val="Header"/>
    <w:uiPriority w:val="99"/>
    <w:rsid w:val="005B260A"/>
    <w:rPr>
      <w:rFonts w:ascii="Calibri" w:eastAsia="Calibri" w:hAnsi="Calibri" w:cs="Calibri"/>
      <w:sz w:val="22"/>
      <w:szCs w:val="22"/>
    </w:rPr>
  </w:style>
  <w:style w:type="paragraph" w:styleId="Footer">
    <w:name w:val="footer"/>
    <w:basedOn w:val="Normal"/>
    <w:link w:val="FooterChar"/>
    <w:uiPriority w:val="99"/>
    <w:unhideWhenUsed/>
    <w:rsid w:val="005B260A"/>
    <w:pPr>
      <w:tabs>
        <w:tab w:val="center" w:pos="4680"/>
        <w:tab w:val="right" w:pos="9360"/>
      </w:tabs>
      <w:spacing w:line="240" w:lineRule="auto"/>
    </w:pPr>
  </w:style>
  <w:style w:type="character" w:customStyle="1" w:styleId="FooterChar">
    <w:name w:val="Footer Char"/>
    <w:basedOn w:val="DefaultParagraphFont"/>
    <w:link w:val="Footer"/>
    <w:uiPriority w:val="99"/>
    <w:rsid w:val="005B260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1B06C-3BC3-4F48-B1B8-38AC559B28A4}">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2.xml><?xml version="1.0" encoding="utf-8"?>
<ds:datastoreItem xmlns:ds="http://schemas.openxmlformats.org/officeDocument/2006/customXml" ds:itemID="{B2A46A24-43A4-4888-BCBE-15A8E00CA16F}">
  <ds:schemaRefs>
    <ds:schemaRef ds:uri="http://schemas.microsoft.com/sharepoint/v3/contenttype/forms"/>
  </ds:schemaRefs>
</ds:datastoreItem>
</file>

<file path=customXml/itemProps3.xml><?xml version="1.0" encoding="utf-8"?>
<ds:datastoreItem xmlns:ds="http://schemas.openxmlformats.org/officeDocument/2006/customXml" ds:itemID="{1C383493-FA49-455B-B92B-59801E5E4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HeeJin Kim</cp:lastModifiedBy>
  <cp:revision>3</cp:revision>
  <dcterms:created xsi:type="dcterms:W3CDTF">2023-09-19T14:09:00Z</dcterms:created>
  <dcterms:modified xsi:type="dcterms:W3CDTF">2023-09-21T19:38:00Z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