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3F03" w14:textId="77777777" w:rsidR="00ED77BB" w:rsidRDefault="00ED77BB">
      <w:pPr>
        <w:spacing w:line="240" w:lineRule="auto"/>
        <w:jc w:val="both"/>
        <w:rPr>
          <w:rFonts w:ascii="Swis721 Lt BT" w:eastAsia="Swis721 Lt BT" w:hAnsi="Swis721 Lt BT" w:cs="Swis721 Lt BT"/>
          <w:b/>
          <w:bCs/>
          <w:sz w:val="20"/>
          <w:szCs w:val="20"/>
        </w:rPr>
      </w:pPr>
    </w:p>
    <w:p w14:paraId="5A7F3A7F" w14:textId="1B59AD54" w:rsidR="00AD6FE8" w:rsidRDefault="00035816">
      <w:pPr>
        <w:spacing w:line="240" w:lineRule="auto"/>
        <w:jc w:val="both"/>
        <w:rPr>
          <w:sz w:val="20"/>
          <w:szCs w:val="20"/>
        </w:rPr>
      </w:pPr>
      <w:r>
        <w:rPr>
          <w:rFonts w:ascii="Swis721 Lt BT" w:eastAsia="Swis721 Lt BT" w:hAnsi="Swis721 Lt BT" w:cs="Swis721 Lt BT"/>
          <w:b/>
          <w:bCs/>
          <w:sz w:val="20"/>
          <w:szCs w:val="20"/>
        </w:rPr>
        <w:t xml:space="preserve">The following are General Provisions to be inserted just before regulations relating to minor and major land development and subdivision provisions.  The language in </w:t>
      </w:r>
      <w:r>
        <w:rPr>
          <w:rFonts w:ascii="Swis721 Lt BT" w:eastAsia="Swis721 Lt BT" w:hAnsi="Swis721 Lt BT" w:cs="Swis721 Lt BT"/>
          <w:b/>
          <w:bCs/>
          <w:color w:val="C00000"/>
          <w:sz w:val="20"/>
          <w:szCs w:val="20"/>
        </w:rPr>
        <w:t>red</w:t>
      </w:r>
      <w:r>
        <w:rPr>
          <w:rFonts w:ascii="Swis721 Lt BT" w:eastAsia="Swis721 Lt BT" w:hAnsi="Swis721 Lt BT" w:cs="Swis721 Lt BT"/>
          <w:b/>
          <w:bCs/>
          <w:sz w:val="20"/>
          <w:szCs w:val="20"/>
        </w:rPr>
        <w:t xml:space="preserve"> is directly from state law and must be inserted into the Regulations as written. </w:t>
      </w:r>
    </w:p>
    <w:p w14:paraId="5DF4006A" w14:textId="77777777" w:rsidR="00AD6FE8" w:rsidRDefault="00AD6FE8">
      <w:pPr>
        <w:spacing w:line="240" w:lineRule="auto"/>
        <w:rPr>
          <w:rFonts w:ascii="Swis721 Lt BT" w:eastAsia="Swis721 Lt BT" w:hAnsi="Swis721 Lt BT" w:cs="Swis721 Lt BT"/>
          <w:b/>
          <w:bCs/>
          <w:sz w:val="20"/>
          <w:szCs w:val="20"/>
        </w:rPr>
      </w:pPr>
    </w:p>
    <w:p w14:paraId="74C0BA05" w14:textId="77777777" w:rsidR="00AD6FE8" w:rsidRDefault="00035816">
      <w:pPr>
        <w:spacing w:line="240" w:lineRule="auto"/>
        <w:rPr>
          <w:sz w:val="20"/>
          <w:szCs w:val="20"/>
        </w:rPr>
      </w:pPr>
      <w:r>
        <w:rPr>
          <w:rFonts w:ascii="Swis721 Lt BT" w:eastAsia="Swis721 Lt BT" w:hAnsi="Swis721 Lt BT" w:cs="Swis721 Lt BT"/>
          <w:b/>
          <w:bCs/>
          <w:color w:val="2F5496"/>
          <w:sz w:val="20"/>
          <w:szCs w:val="20"/>
        </w:rPr>
        <w:t>TEMPLATE SECTIONS FOR INSERTION INTO THE DEVELOPMENT REGULATIONS</w:t>
      </w:r>
    </w:p>
    <w:p w14:paraId="20AD5804" w14:textId="77777777" w:rsidR="00AD6FE8" w:rsidRDefault="00AD6FE8">
      <w:pPr>
        <w:spacing w:line="240" w:lineRule="auto"/>
        <w:rPr>
          <w:rFonts w:ascii="Swis721 Lt BT" w:eastAsia="Swis721 Lt BT" w:hAnsi="Swis721 Lt BT" w:cs="Swis721 Lt BT"/>
          <w:b/>
          <w:bCs/>
          <w:sz w:val="20"/>
          <w:szCs w:val="20"/>
        </w:rPr>
      </w:pPr>
    </w:p>
    <w:p w14:paraId="35165138" w14:textId="77777777" w:rsidR="00AD6FE8" w:rsidRDefault="00035816">
      <w:pPr>
        <w:numPr>
          <w:ilvl w:val="1"/>
          <w:numId w:val="1"/>
        </w:numPr>
        <w:tabs>
          <w:tab w:val="left" w:pos="357"/>
        </w:tabs>
        <w:spacing w:after="160"/>
        <w:ind w:left="360" w:hanging="360"/>
        <w:rPr>
          <w:sz w:val="20"/>
          <w:szCs w:val="20"/>
        </w:rPr>
      </w:pPr>
      <w:r>
        <w:rPr>
          <w:rFonts w:ascii="Swis721 Lt BT" w:eastAsia="Swis721 Lt BT" w:hAnsi="Swis721 Lt BT" w:cs="Swis721 Lt BT"/>
          <w:i/>
          <w:iCs/>
          <w:color w:val="FF0000"/>
          <w:sz w:val="20"/>
          <w:szCs w:val="20"/>
        </w:rPr>
        <w:t>Classification and Certification of Completeness.</w:t>
      </w:r>
    </w:p>
    <w:p w14:paraId="34369AED" w14:textId="3ACC5686" w:rsidR="00AD6FE8" w:rsidRDefault="00035816">
      <w:pPr>
        <w:numPr>
          <w:ilvl w:val="0"/>
          <w:numId w:val="2"/>
        </w:numPr>
        <w:pBdr>
          <w:left w:val="none" w:sz="0" w:space="5" w:color="auto"/>
        </w:pBdr>
        <w:spacing w:after="160"/>
        <w:ind w:left="1080" w:hanging="353"/>
        <w:jc w:val="both"/>
        <w:rPr>
          <w:rFonts w:ascii="Swis721 Lt BT" w:eastAsia="Swis721 Lt BT" w:hAnsi="Swis721 Lt BT" w:cs="Swis721 Lt BT"/>
          <w:color w:val="FF0000"/>
          <w:sz w:val="20"/>
          <w:szCs w:val="20"/>
        </w:rPr>
      </w:pPr>
      <w:r>
        <w:rPr>
          <w:rFonts w:ascii="Swis721 Lt BT" w:eastAsia="Swis721 Lt BT" w:hAnsi="Swis721 Lt BT" w:cs="Swis721 Lt BT"/>
          <w:color w:val="FF0000"/>
          <w:sz w:val="20"/>
          <w:szCs w:val="20"/>
        </w:rPr>
        <w:t>Classification.  The administrative officer shall advise the applicant as to which category of approval is required for a project.  An applicant shall not be required to obtain both land development</w:t>
      </w:r>
      <w:r w:rsidR="001C70B4">
        <w:rPr>
          <w:rFonts w:ascii="Swis721 Lt BT" w:eastAsia="Swis721 Lt BT" w:hAnsi="Swis721 Lt BT" w:cs="Swis721 Lt BT"/>
          <w:color w:val="FF0000"/>
          <w:sz w:val="20"/>
          <w:szCs w:val="20"/>
        </w:rPr>
        <w:t xml:space="preserve"> review and development</w:t>
      </w:r>
      <w:r>
        <w:rPr>
          <w:rFonts w:ascii="Swis721 Lt BT" w:eastAsia="Swis721 Lt BT" w:hAnsi="Swis721 Lt BT" w:cs="Swis721 Lt BT"/>
          <w:color w:val="FF0000"/>
          <w:sz w:val="20"/>
          <w:szCs w:val="20"/>
        </w:rPr>
        <w:t xml:space="preserve"> plan review for the same project. The following categories of applications may be filed:</w:t>
      </w:r>
    </w:p>
    <w:p w14:paraId="2DE237D0" w14:textId="77777777" w:rsidR="00AD6FE8" w:rsidRDefault="00035816">
      <w:pPr>
        <w:numPr>
          <w:ilvl w:val="0"/>
          <w:numId w:val="3"/>
        </w:numPr>
        <w:pBdr>
          <w:left w:val="none" w:sz="0" w:space="5" w:color="auto"/>
        </w:pBdr>
        <w:spacing w:after="160"/>
        <w:ind w:left="1800" w:hanging="358"/>
        <w:jc w:val="both"/>
        <w:rPr>
          <w:rFonts w:ascii="Swis721 Lt BT" w:eastAsia="Swis721 Lt BT" w:hAnsi="Swis721 Lt BT" w:cs="Swis721 Lt BT"/>
          <w:color w:val="FF0000"/>
          <w:sz w:val="20"/>
          <w:szCs w:val="20"/>
        </w:rPr>
      </w:pPr>
      <w:r>
        <w:rPr>
          <w:rFonts w:ascii="Swis721 Lt BT" w:eastAsia="Swis721 Lt BT" w:hAnsi="Swis721 Lt BT" w:cs="Swis721 Lt BT"/>
          <w:color w:val="FF0000"/>
          <w:sz w:val="20"/>
          <w:szCs w:val="20"/>
        </w:rPr>
        <w:t>Subdivisions.  Administrative subdivisions, minor subdivisions, or major subdivisions;</w:t>
      </w:r>
    </w:p>
    <w:p w14:paraId="5A83E580" w14:textId="77777777" w:rsidR="00AD6FE8" w:rsidRDefault="00035816">
      <w:pPr>
        <w:numPr>
          <w:ilvl w:val="0"/>
          <w:numId w:val="3"/>
        </w:numPr>
        <w:pBdr>
          <w:left w:val="none" w:sz="0" w:space="5" w:color="auto"/>
        </w:pBdr>
        <w:spacing w:after="160"/>
        <w:ind w:left="1800" w:hanging="358"/>
        <w:jc w:val="both"/>
        <w:rPr>
          <w:rFonts w:ascii="Swis721 Lt BT" w:eastAsia="Swis721 Lt BT" w:hAnsi="Swis721 Lt BT" w:cs="Swis721 Lt BT"/>
          <w:color w:val="FF0000"/>
          <w:sz w:val="20"/>
          <w:szCs w:val="20"/>
        </w:rPr>
      </w:pPr>
      <w:r>
        <w:rPr>
          <w:rFonts w:ascii="Swis721 Lt BT" w:eastAsia="Swis721 Lt BT" w:hAnsi="Swis721 Lt BT" w:cs="Swis721 Lt BT"/>
          <w:color w:val="FF0000"/>
          <w:sz w:val="20"/>
          <w:szCs w:val="20"/>
        </w:rPr>
        <w:t xml:space="preserve">Land development projects.  Minor land development or major land development; and </w:t>
      </w:r>
    </w:p>
    <w:p w14:paraId="11084F85" w14:textId="77777777" w:rsidR="00AD6FE8" w:rsidRDefault="00035816">
      <w:pPr>
        <w:numPr>
          <w:ilvl w:val="0"/>
          <w:numId w:val="3"/>
        </w:numPr>
        <w:pBdr>
          <w:left w:val="none" w:sz="0" w:space="5" w:color="auto"/>
        </w:pBdr>
        <w:spacing w:after="160"/>
        <w:ind w:left="1800" w:hanging="358"/>
        <w:jc w:val="both"/>
        <w:rPr>
          <w:rFonts w:ascii="Swis721 Lt BT" w:eastAsia="Swis721 Lt BT" w:hAnsi="Swis721 Lt BT" w:cs="Swis721 Lt BT"/>
          <w:color w:val="FF0000"/>
          <w:sz w:val="20"/>
          <w:szCs w:val="20"/>
        </w:rPr>
      </w:pPr>
      <w:r>
        <w:rPr>
          <w:rFonts w:ascii="Swis721 Lt BT" w:eastAsia="Swis721 Lt BT" w:hAnsi="Swis721 Lt BT" w:cs="Swis721 Lt BT"/>
          <w:color w:val="FF0000"/>
          <w:sz w:val="20"/>
          <w:szCs w:val="20"/>
        </w:rPr>
        <w:t>Development plan review.</w:t>
      </w:r>
    </w:p>
    <w:p w14:paraId="06DF6A00" w14:textId="77777777" w:rsidR="00AD6FE8" w:rsidRDefault="00035816">
      <w:pPr>
        <w:numPr>
          <w:ilvl w:val="0"/>
          <w:numId w:val="4"/>
        </w:numPr>
        <w:pBdr>
          <w:left w:val="none" w:sz="0" w:space="5" w:color="auto"/>
        </w:pBdr>
        <w:spacing w:after="160"/>
        <w:ind w:left="1080" w:hanging="354"/>
        <w:jc w:val="both"/>
        <w:rPr>
          <w:rFonts w:ascii="Swis721 Lt BT" w:eastAsia="Swis721 Lt BT" w:hAnsi="Swis721 Lt BT" w:cs="Swis721 Lt BT"/>
          <w:color w:val="FF0000"/>
          <w:sz w:val="20"/>
          <w:szCs w:val="20"/>
        </w:rPr>
      </w:pPr>
      <w:r>
        <w:rPr>
          <w:rFonts w:ascii="Swis721 Lt BT" w:eastAsia="Swis721 Lt BT" w:hAnsi="Swis721 Lt BT" w:cs="Swis721 Lt BT"/>
          <w:color w:val="FF0000"/>
          <w:sz w:val="20"/>
          <w:szCs w:val="20"/>
        </w:rPr>
        <w:t>Certification of a complete application.  An application shall be complete for purposes of commencing the applicable time period for action when so certified by the administrative officer. Every certification of completeness required by this chapter shall be in writing. In the event the certification of the application is not made within the time specified in this chapter for the type of plan, the application is deemed complete for purposes of commencing the review period unless the application lacks information required for these applications as specified in the local regulations and the administrative officer has notified the applicant, in writing, of the deficiencies in the application.</w:t>
      </w:r>
      <w:r>
        <w:rPr>
          <w:rFonts w:ascii="Swis721 Lt BT" w:eastAsia="Swis721 Lt BT" w:hAnsi="Swis721 Lt BT" w:cs="Swis721 Lt BT"/>
          <w:color w:val="FF0000"/>
          <w:sz w:val="20"/>
          <w:szCs w:val="20"/>
          <w:u w:val="single" w:color="FF0000"/>
        </w:rPr>
        <w:t xml:space="preserve"> See [INSERT SECTIONS OF REGULATIONS FOR CERTIFICATION OF COMPLETENESS FOR EACH STAGE OF REVIEW, including AS, MI, MA, DPR, UDR, Comp Permit]</w:t>
      </w:r>
    </w:p>
    <w:p w14:paraId="43F23CD2" w14:textId="77777777" w:rsidR="00AD6FE8" w:rsidRDefault="00AD6FE8">
      <w:pPr>
        <w:spacing w:after="160"/>
        <w:rPr>
          <w:rFonts w:ascii="Swis721 Lt BT" w:eastAsia="Swis721 Lt BT" w:hAnsi="Swis721 Lt BT" w:cs="Swis721 Lt BT"/>
          <w:sz w:val="20"/>
          <w:szCs w:val="20"/>
        </w:rPr>
      </w:pPr>
    </w:p>
    <w:sectPr w:rsidR="00AD6FE8">
      <w:headerReference w:type="default" r:id="rId10"/>
      <w:footerReference w:type="default" r:id="rId11"/>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9233" w14:textId="77777777" w:rsidR="002235D4" w:rsidRDefault="002235D4">
      <w:pPr>
        <w:spacing w:line="240" w:lineRule="auto"/>
      </w:pPr>
      <w:r>
        <w:separator/>
      </w:r>
    </w:p>
  </w:endnote>
  <w:endnote w:type="continuationSeparator" w:id="0">
    <w:p w14:paraId="4EA89D87" w14:textId="77777777" w:rsidR="002235D4" w:rsidRDefault="002235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wis721 Lt BT">
    <w:altName w:val="Cambria"/>
    <w:panose1 w:val="020B0604020202020204"/>
    <w:charset w:val="00"/>
    <w:family w:val="swiss"/>
    <w:pitch w:val="variable"/>
    <w:sig w:usb0="00000087" w:usb1="00000000" w:usb2="00000000" w:usb3="00000000" w:csb0="0000001B"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275638"/>
      <w:docPartObj>
        <w:docPartGallery w:val="Page Numbers (Bottom of Page)"/>
        <w:docPartUnique/>
      </w:docPartObj>
    </w:sdtPr>
    <w:sdtEndPr>
      <w:rPr>
        <w:noProof/>
      </w:rPr>
    </w:sdtEndPr>
    <w:sdtContent>
      <w:p w14:paraId="16231146" w14:textId="3CDE51F1" w:rsidR="00D52343" w:rsidRDefault="00D523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DD4D0" w14:textId="1C0F685A" w:rsidR="00AD6FE8" w:rsidRDefault="00AD6FE8">
    <w:pPr>
      <w:tabs>
        <w:tab w:val="center" w:pos="468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6E87" w14:textId="77777777" w:rsidR="002235D4" w:rsidRDefault="002235D4">
      <w:pPr>
        <w:spacing w:line="240" w:lineRule="auto"/>
      </w:pPr>
      <w:r>
        <w:separator/>
      </w:r>
    </w:p>
  </w:footnote>
  <w:footnote w:type="continuationSeparator" w:id="0">
    <w:p w14:paraId="14CF1BDD" w14:textId="77777777" w:rsidR="002235D4" w:rsidRDefault="002235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D539" w14:textId="63335770" w:rsidR="00AD6FE8" w:rsidRDefault="00ED77BB" w:rsidP="00ED77BB">
    <w:pPr>
      <w:tabs>
        <w:tab w:val="center" w:pos="4680"/>
        <w:tab w:val="right" w:pos="9360"/>
      </w:tabs>
      <w:spacing w:line="240" w:lineRule="auto"/>
      <w:ind w:firstLine="2610"/>
      <w:rPr>
        <w:sz w:val="20"/>
        <w:szCs w:val="20"/>
      </w:rPr>
    </w:pPr>
    <w:r w:rsidRPr="002E61BE">
      <w:rPr>
        <w:rFonts w:ascii="Swis721 Lt BT" w:eastAsia="Times New Roman" w:hAnsi="Swis721 Lt BT"/>
        <w:b/>
        <w:bCs/>
        <w:noProof/>
        <w:sz w:val="26"/>
        <w:szCs w:val="24"/>
      </w:rPr>
      <w:drawing>
        <wp:anchor distT="0" distB="0" distL="114300" distR="114300" simplePos="0" relativeHeight="251659264" behindDoc="0" locked="0" layoutInCell="1" allowOverlap="1" wp14:anchorId="5C30E2E3" wp14:editId="08360490">
          <wp:simplePos x="0" y="0"/>
          <wp:positionH relativeFrom="column">
            <wp:posOffset>-317500</wp:posOffset>
          </wp:positionH>
          <wp:positionV relativeFrom="paragraph">
            <wp:posOffset>-245110</wp:posOffset>
          </wp:positionV>
          <wp:extent cx="1892080" cy="869950"/>
          <wp:effectExtent l="0" t="0" r="635" b="0"/>
          <wp:wrapNone/>
          <wp:docPr id="2033964330" name="Picture 203396433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534839"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1" r="4811" b="-9277"/>
                  <a:stretch/>
                </pic:blipFill>
                <pic:spPr bwMode="auto">
                  <a:xfrm>
                    <a:off x="0" y="0"/>
                    <a:ext cx="1892080" cy="869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35816">
      <w:rPr>
        <w:rFonts w:ascii="Swis721 Lt BT" w:eastAsia="Swis721 Lt BT" w:hAnsi="Swis721 Lt BT" w:cs="Swis721 Lt BT"/>
        <w:b/>
        <w:bCs/>
        <w:sz w:val="20"/>
        <w:szCs w:val="20"/>
      </w:rPr>
      <w:t>Development Regulations</w:t>
    </w:r>
    <w:r>
      <w:rPr>
        <w:b/>
        <w:bCs/>
        <w:sz w:val="20"/>
        <w:szCs w:val="20"/>
      </w:rPr>
      <w:tab/>
    </w:r>
    <w:r w:rsidR="00035816">
      <w:rPr>
        <w:rFonts w:ascii="Swis721 Lt BT" w:eastAsia="Swis721 Lt BT" w:hAnsi="Swis721 Lt BT" w:cs="Swis721 Lt BT"/>
        <w:b/>
        <w:bCs/>
        <w:sz w:val="20"/>
        <w:szCs w:val="20"/>
      </w:rPr>
      <w:t>9/15/23</w:t>
    </w:r>
  </w:p>
  <w:p w14:paraId="6106B50F" w14:textId="22AF143E" w:rsidR="00AD6FE8" w:rsidRDefault="00035816" w:rsidP="00ED77BB">
    <w:pPr>
      <w:spacing w:line="240" w:lineRule="auto"/>
      <w:ind w:firstLine="2610"/>
      <w:rPr>
        <w:sz w:val="20"/>
        <w:szCs w:val="20"/>
      </w:rPr>
    </w:pPr>
    <w:r>
      <w:rPr>
        <w:rFonts w:ascii="Swis721 Lt BT" w:eastAsia="Swis721 Lt BT" w:hAnsi="Swis721 Lt BT" w:cs="Swis721 Lt BT"/>
        <w:b/>
        <w:bCs/>
        <w:sz w:val="20"/>
        <w:szCs w:val="20"/>
      </w:rPr>
      <w:t>H 6061Aaa / S 1034 A</w:t>
    </w:r>
  </w:p>
  <w:p w14:paraId="245D72DF" w14:textId="658396D3" w:rsidR="00ED77BB" w:rsidRPr="00ED77BB" w:rsidRDefault="00035816" w:rsidP="00ED77BB">
    <w:pPr>
      <w:spacing w:line="240" w:lineRule="auto"/>
      <w:ind w:firstLine="2610"/>
      <w:rPr>
        <w:rFonts w:ascii="Swis721 Lt BT" w:eastAsia="Swis721 Lt BT" w:hAnsi="Swis721 Lt BT" w:cs="Swis721 Lt BT"/>
        <w:b/>
        <w:bCs/>
        <w:sz w:val="20"/>
        <w:szCs w:val="20"/>
      </w:rPr>
    </w:pPr>
    <w:r>
      <w:rPr>
        <w:rFonts w:ascii="Swis721 Lt BT" w:eastAsia="Swis721 Lt BT" w:hAnsi="Swis721 Lt BT" w:cs="Swis721 Lt BT"/>
        <w:b/>
        <w:bCs/>
        <w:sz w:val="20"/>
        <w:szCs w:val="20"/>
      </w:rPr>
      <w:t>General Provisions:  Classification and Certificate of Completeness</w:t>
    </w:r>
    <w:r w:rsidR="00D52343">
      <w:rPr>
        <w:rFonts w:ascii="Swis721 Lt BT" w:eastAsia="Swis721 Lt BT" w:hAnsi="Swis721 Lt BT" w:cs="Swis721 Lt BT"/>
        <w:b/>
        <w:bCs/>
        <w:sz w:val="20"/>
        <w:szCs w:val="20"/>
      </w:rPr>
      <w:t xml:space="preserve"> </w:t>
    </w:r>
    <w:r w:rsidR="00ED77BB">
      <w:rPr>
        <w:rFonts w:ascii="Swis721 Lt BT" w:eastAsia="Swis721 Lt BT" w:hAnsi="Swis721 Lt BT" w:cs="Swis721 Lt BT"/>
        <w:b/>
        <w:bCs/>
        <w:sz w:val="20"/>
        <w:szCs w:val="20"/>
      </w:rPr>
      <w:t>–</w:t>
    </w:r>
    <w:r w:rsidR="00D52343">
      <w:rPr>
        <w:rFonts w:ascii="Swis721 Lt BT" w:eastAsia="Swis721 Lt BT" w:hAnsi="Swis721 Lt BT" w:cs="Swis721 Lt BT"/>
        <w:b/>
        <w:bCs/>
        <w:sz w:val="20"/>
        <w:szCs w:val="20"/>
      </w:rPr>
      <w:t xml:space="preserve"> Final</w:t>
    </w:r>
  </w:p>
  <w:p w14:paraId="5EEF03D9" w14:textId="77777777" w:rsidR="00AD6FE8" w:rsidRDefault="00AD6FE8">
    <w:pPr>
      <w:spacing w:line="240" w:lineRule="auto"/>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tabs>
          <w:tab w:val="num" w:pos="720"/>
        </w:tabs>
        <w:ind w:left="720" w:hanging="360"/>
      </w:pPr>
      <w:rPr>
        <w:rFonts w:ascii="Symbol" w:hAnsi="Symbol"/>
      </w:rPr>
    </w:lvl>
    <w:lvl w:ilvl="1">
      <w:start w:val="1"/>
      <w:numFmt w:val="decimal"/>
      <w:lvlText w:val="%1.%2"/>
      <w:lvlJc w:val="left"/>
      <w:pPr>
        <w:ind w:left="0" w:firstLine="0"/>
      </w:pPr>
      <w:rPr>
        <w:rFonts w:ascii="Swis721 Lt BT" w:eastAsia="Swis721 Lt BT" w:hAnsi="Swis721 Lt BT" w:cs="Swis721 Lt BT"/>
        <w:i/>
        <w:iCs/>
        <w:color w:val="FF0000"/>
        <w:sz w:val="20"/>
        <w:szCs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70718022">
    <w:abstractNumId w:val="0"/>
  </w:num>
  <w:num w:numId="2" w16cid:durableId="2042128186">
    <w:abstractNumId w:val="1"/>
  </w:num>
  <w:num w:numId="3" w16cid:durableId="1248228051">
    <w:abstractNumId w:val="2"/>
  </w:num>
  <w:num w:numId="4" w16cid:durableId="2043749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QyM7AwNbcwMTRQ0lEKTi0uzszPAykwqgUA7HQSbCwAAAA="/>
  </w:docVars>
  <w:rsids>
    <w:rsidRoot w:val="00AD6FE8"/>
    <w:rsid w:val="00035816"/>
    <w:rsid w:val="001C70B4"/>
    <w:rsid w:val="001F43F1"/>
    <w:rsid w:val="002235D4"/>
    <w:rsid w:val="00AD6FE8"/>
    <w:rsid w:val="00D52343"/>
    <w:rsid w:val="00ED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79BB"/>
  <w15:docId w15:val="{56CC78E5-40E6-4691-9E0A-939C00A0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1C70B4"/>
    <w:rPr>
      <w:rFonts w:ascii="Calibri" w:eastAsia="Calibri" w:hAnsi="Calibri" w:cs="Calibri"/>
      <w:sz w:val="22"/>
      <w:szCs w:val="22"/>
    </w:rPr>
  </w:style>
  <w:style w:type="paragraph" w:styleId="Header">
    <w:name w:val="header"/>
    <w:basedOn w:val="Normal"/>
    <w:link w:val="HeaderChar"/>
    <w:uiPriority w:val="99"/>
    <w:unhideWhenUsed/>
    <w:rsid w:val="00035816"/>
    <w:pPr>
      <w:tabs>
        <w:tab w:val="center" w:pos="4680"/>
        <w:tab w:val="right" w:pos="9360"/>
      </w:tabs>
      <w:spacing w:line="240" w:lineRule="auto"/>
    </w:pPr>
  </w:style>
  <w:style w:type="character" w:customStyle="1" w:styleId="HeaderChar">
    <w:name w:val="Header Char"/>
    <w:basedOn w:val="DefaultParagraphFont"/>
    <w:link w:val="Header"/>
    <w:uiPriority w:val="99"/>
    <w:rsid w:val="00035816"/>
    <w:rPr>
      <w:rFonts w:ascii="Calibri" w:eastAsia="Calibri" w:hAnsi="Calibri" w:cs="Calibri"/>
      <w:sz w:val="22"/>
      <w:szCs w:val="22"/>
    </w:rPr>
  </w:style>
  <w:style w:type="paragraph" w:styleId="Footer">
    <w:name w:val="footer"/>
    <w:basedOn w:val="Normal"/>
    <w:link w:val="FooterChar"/>
    <w:uiPriority w:val="99"/>
    <w:unhideWhenUsed/>
    <w:rsid w:val="00035816"/>
    <w:pPr>
      <w:tabs>
        <w:tab w:val="center" w:pos="4680"/>
        <w:tab w:val="right" w:pos="9360"/>
      </w:tabs>
      <w:spacing w:line="240" w:lineRule="auto"/>
    </w:pPr>
  </w:style>
  <w:style w:type="character" w:customStyle="1" w:styleId="FooterChar">
    <w:name w:val="Footer Char"/>
    <w:basedOn w:val="DefaultParagraphFont"/>
    <w:link w:val="Footer"/>
    <w:uiPriority w:val="99"/>
    <w:rsid w:val="0003581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4b38c5-5d87-4706-a46f-f842ec33131b">
      <Terms xmlns="http://schemas.microsoft.com/office/infopath/2007/PartnerControls"/>
    </lcf76f155ced4ddcb4097134ff3c332f>
    <TaxCatchAll xmlns="556b9c53-bd0d-4f42-a6c8-cb40549b62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A6CEF993CA04FBC861BABD861E725" ma:contentTypeVersion="15" ma:contentTypeDescription="Create a new document." ma:contentTypeScope="" ma:versionID="a4f1bb1ed7f0e4beb271ff74166586b3">
  <xsd:schema xmlns:xsd="http://www.w3.org/2001/XMLSchema" xmlns:xs="http://www.w3.org/2001/XMLSchema" xmlns:p="http://schemas.microsoft.com/office/2006/metadata/properties" xmlns:ns2="556b9c53-bd0d-4f42-a6c8-cb40549b622a" xmlns:ns3="594b38c5-5d87-4706-a46f-f842ec33131b" targetNamespace="http://schemas.microsoft.com/office/2006/metadata/properties" ma:root="true" ma:fieldsID="c6dee2e39563f5080773710c4f08763d" ns2:_="" ns3:_="">
    <xsd:import namespace="556b9c53-bd0d-4f42-a6c8-cb40549b622a"/>
    <xsd:import namespace="594b38c5-5d87-4706-a46f-f842ec3313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9c53-bd0d-4f42-a6c8-cb40549b62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6b12a51-2bd6-40d8-b52b-995f07bc53f2}" ma:internalName="TaxCatchAll" ma:showField="CatchAllData" ma:web="556b9c53-bd0d-4f42-a6c8-cb40549b62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4b38c5-5d87-4706-a46f-f842ec3313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description="" ma:indexed="true"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7303b8-e139-4625-a0cf-7f79d2d67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CFF41-67A9-4AA1-8897-9EA10921367C}">
  <ds:schemaRefs>
    <ds:schemaRef ds:uri="http://schemas.microsoft.com/office/2006/metadata/properties"/>
    <ds:schemaRef ds:uri="http://schemas.microsoft.com/office/infopath/2007/PartnerControls"/>
    <ds:schemaRef ds:uri="594b38c5-5d87-4706-a46f-f842ec33131b"/>
    <ds:schemaRef ds:uri="556b9c53-bd0d-4f42-a6c8-cb40549b622a"/>
  </ds:schemaRefs>
</ds:datastoreItem>
</file>

<file path=customXml/itemProps2.xml><?xml version="1.0" encoding="utf-8"?>
<ds:datastoreItem xmlns:ds="http://schemas.openxmlformats.org/officeDocument/2006/customXml" ds:itemID="{ED4F32C9-B001-412C-8338-C36939336BDE}">
  <ds:schemaRefs>
    <ds:schemaRef ds:uri="http://schemas.microsoft.com/sharepoint/v3/contenttype/forms"/>
  </ds:schemaRefs>
</ds:datastoreItem>
</file>

<file path=customXml/itemProps3.xml><?xml version="1.0" encoding="utf-8"?>
<ds:datastoreItem xmlns:ds="http://schemas.openxmlformats.org/officeDocument/2006/customXml" ds:itemID="{2A02127C-0E47-4A91-893E-BF240787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9c53-bd0d-4f42-a6c8-cb40549b622a"/>
    <ds:schemaRef ds:uri="594b38c5-5d87-4706-a46f-f842ec331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HeeJin Kim</cp:lastModifiedBy>
  <cp:revision>3</cp:revision>
  <dcterms:created xsi:type="dcterms:W3CDTF">2023-09-19T14:06:00Z</dcterms:created>
  <dcterms:modified xsi:type="dcterms:W3CDTF">2023-09-21T19:25:00Z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0x010100C0BA6CEF993CA04FBC861BABD861E725</vt:lpwstr>
  </property>
  <property fmtid="{D5CDD505-2E9C-101B-9397-08002B2CF9AE}" pid="3" name="MediaServiceImageTags">
    <vt:lpwstr/>
  </property>
</Properties>
</file>