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0419" w14:textId="77777777" w:rsidR="00257999" w:rsidRDefault="00257999" w:rsidP="00257999">
      <w:pPr>
        <w:spacing w:before="120" w:after="120"/>
        <w:jc w:val="both"/>
        <w:rPr>
          <w:rFonts w:ascii="Arial" w:eastAsia="Swis721 Lt BT" w:hAnsi="Arial" w:cs="Arial"/>
          <w:b/>
          <w:bCs/>
        </w:rPr>
      </w:pPr>
      <w:bookmarkStart w:id="0" w:name="_Hlk221531460"/>
      <w:r w:rsidRPr="00715816">
        <w:rPr>
          <w:rFonts w:ascii="Arial" w:eastAsia="Swis721 Lt BT" w:hAnsi="Arial" w:cs="Arial"/>
          <w:b/>
          <w:bCs/>
        </w:rPr>
        <w:t xml:space="preserve">The language in </w:t>
      </w:r>
      <w:r w:rsidRPr="00B1668D">
        <w:rPr>
          <w:rFonts w:ascii="Arial" w:eastAsia="Swis721 Lt BT" w:hAnsi="Arial" w:cs="Arial"/>
          <w:b/>
          <w:bCs/>
          <w:color w:val="C00000"/>
        </w:rPr>
        <w:t>red</w:t>
      </w:r>
      <w:r w:rsidRPr="00715816">
        <w:rPr>
          <w:rFonts w:ascii="Arial" w:eastAsia="Swis721 Lt BT" w:hAnsi="Arial" w:cs="Arial"/>
          <w:b/>
          <w:bCs/>
          <w:color w:val="FF0000"/>
        </w:rPr>
        <w:t xml:space="preserve"> </w:t>
      </w:r>
      <w:r w:rsidRPr="00715816">
        <w:rPr>
          <w:rFonts w:ascii="Arial" w:eastAsia="Swis721 Lt BT" w:hAnsi="Arial" w:cs="Arial"/>
          <w:b/>
          <w:bCs/>
        </w:rPr>
        <w:t xml:space="preserve">is a change and must be revised in the zoning ordinance.  </w:t>
      </w:r>
      <w:r w:rsidRPr="00B1668D">
        <w:rPr>
          <w:rFonts w:ascii="Arial" w:eastAsia="Swis721 Lt BT" w:hAnsi="Arial" w:cs="Arial"/>
          <w:b/>
          <w:bCs/>
          <w:color w:val="C00000"/>
          <w:u w:val="single"/>
        </w:rPr>
        <w:t>Red underlining</w:t>
      </w:r>
      <w:r w:rsidRPr="00B1668D">
        <w:rPr>
          <w:rFonts w:ascii="Arial" w:eastAsia="Swis721 Lt BT" w:hAnsi="Arial" w:cs="Arial"/>
          <w:b/>
          <w:bCs/>
          <w:color w:val="C00000"/>
        </w:rPr>
        <w:t xml:space="preserve"> </w:t>
      </w:r>
      <w:r>
        <w:rPr>
          <w:rFonts w:ascii="Arial" w:eastAsia="Swis721 Lt BT" w:hAnsi="Arial" w:cs="Arial"/>
          <w:b/>
          <w:bCs/>
        </w:rPr>
        <w:t xml:space="preserve">represents text for insertion and </w:t>
      </w:r>
      <w:r w:rsidRPr="00B1668D">
        <w:rPr>
          <w:rFonts w:ascii="Arial" w:eastAsia="Swis721 Lt BT" w:hAnsi="Arial" w:cs="Arial"/>
          <w:b/>
          <w:bCs/>
          <w:strike/>
          <w:color w:val="C00000"/>
        </w:rPr>
        <w:t>red strikethrough</w:t>
      </w:r>
      <w:r w:rsidRPr="00B1668D">
        <w:rPr>
          <w:rFonts w:ascii="Arial" w:eastAsia="Swis721 Lt BT" w:hAnsi="Arial" w:cs="Arial"/>
          <w:b/>
          <w:bCs/>
          <w:color w:val="C00000"/>
        </w:rPr>
        <w:t xml:space="preserve"> </w:t>
      </w:r>
      <w:r>
        <w:rPr>
          <w:rFonts w:ascii="Arial" w:eastAsia="Swis721 Lt BT" w:hAnsi="Arial" w:cs="Arial"/>
          <w:b/>
          <w:bCs/>
        </w:rPr>
        <w:t>represents text for deletion.</w:t>
      </w:r>
    </w:p>
    <w:p w14:paraId="3216002F" w14:textId="77777777" w:rsidR="00257999" w:rsidRDefault="00257999" w:rsidP="00257999">
      <w:pPr>
        <w:spacing w:before="120" w:after="120"/>
        <w:jc w:val="both"/>
        <w:rPr>
          <w:rFonts w:ascii="Arial" w:eastAsia="Swis721 Lt BT" w:hAnsi="Arial" w:cs="Arial"/>
          <w:b/>
          <w:bCs/>
        </w:rPr>
      </w:pPr>
      <w:r w:rsidRPr="00B1668D">
        <w:rPr>
          <w:rFonts w:ascii="Arial" w:eastAsia="Swis721 Lt BT" w:hAnsi="Arial" w:cs="Arial"/>
          <w:b/>
          <w:bCs/>
          <w:color w:val="0070C0"/>
        </w:rPr>
        <w:t>Blue</w:t>
      </w:r>
      <w:r>
        <w:rPr>
          <w:rFonts w:ascii="Arial" w:eastAsia="Swis721 Lt BT" w:hAnsi="Arial" w:cs="Arial"/>
          <w:b/>
          <w:bCs/>
        </w:rPr>
        <w:t xml:space="preserve"> text represents recommended language for clarification or best practices.</w:t>
      </w:r>
    </w:p>
    <w:p w14:paraId="1111E165" w14:textId="77777777" w:rsidR="00257999" w:rsidRPr="00715816" w:rsidRDefault="00257999" w:rsidP="00257999">
      <w:pPr>
        <w:spacing w:before="120" w:after="120"/>
        <w:jc w:val="both"/>
        <w:rPr>
          <w:rFonts w:ascii="Arial" w:eastAsia="Swis721 Lt BT" w:hAnsi="Arial" w:cs="Arial"/>
          <w:b/>
          <w:bCs/>
        </w:rPr>
      </w:pPr>
      <w:r>
        <w:rPr>
          <w:rFonts w:ascii="Arial" w:eastAsia="Swis721 Lt BT" w:hAnsi="Arial" w:cs="Arial"/>
          <w:b/>
          <w:bCs/>
        </w:rPr>
        <w:t>[Bracketed text] represents text where a municipality has an option or where terminology might be slightly different from place to place (such as planning board or planning commission).</w:t>
      </w:r>
      <w:r w:rsidRPr="00715816">
        <w:rPr>
          <w:rFonts w:ascii="Arial" w:eastAsia="Swis721 Lt BT" w:hAnsi="Arial" w:cs="Arial"/>
          <w:b/>
          <w:bCs/>
        </w:rPr>
        <w:t xml:space="preserve"> </w:t>
      </w:r>
    </w:p>
    <w:p w14:paraId="5A420238" w14:textId="155EBBBC" w:rsidR="00257999" w:rsidRPr="00257999" w:rsidRDefault="00257999" w:rsidP="00257999">
      <w:pPr>
        <w:spacing w:before="120" w:after="120"/>
        <w:jc w:val="both"/>
        <w:rPr>
          <w:rFonts w:ascii="Aptos" w:eastAsia="Swis721 Lt BT" w:hAnsi="Aptos" w:cs="Swis721 Lt BT"/>
        </w:rPr>
      </w:pPr>
      <w:r>
        <w:rPr>
          <w:rFonts w:ascii="Aptos" w:eastAsia="Swis721 Lt BT" w:hAnsi="Aptos" w:cs="Swis721 Lt BT"/>
          <w:noProof/>
        </w:rPr>
        <mc:AlternateContent>
          <mc:Choice Requires="wps">
            <w:drawing>
              <wp:anchor distT="0" distB="0" distL="114300" distR="114300" simplePos="0" relativeHeight="251659264" behindDoc="0" locked="0" layoutInCell="1" allowOverlap="1" wp14:anchorId="108A99BE" wp14:editId="3038CACB">
                <wp:simplePos x="0" y="0"/>
                <wp:positionH relativeFrom="column">
                  <wp:posOffset>9524</wp:posOffset>
                </wp:positionH>
                <wp:positionV relativeFrom="paragraph">
                  <wp:posOffset>93980</wp:posOffset>
                </wp:positionV>
                <wp:extent cx="5934075" cy="0"/>
                <wp:effectExtent l="0" t="0" r="0" b="0"/>
                <wp:wrapNone/>
                <wp:docPr id="597048477"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1EF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" strokecolor="black [3040]"/>
            </w:pict>
          </mc:Fallback>
        </mc:AlternateContent>
      </w:r>
      <w:bookmarkEnd w:id="0"/>
    </w:p>
    <w:p w14:paraId="6D2B738D" w14:textId="0C37D11F" w:rsidR="0080288C" w:rsidRPr="00F05482" w:rsidRDefault="00607FF5" w:rsidP="00257999">
      <w:pPr>
        <w:rPr>
          <w:rFonts w:asciiTheme="minorHAnsi" w:hAnsiTheme="minorHAnsi"/>
          <w:b/>
          <w:bCs/>
        </w:rPr>
      </w:pPr>
      <w:r w:rsidRPr="00F05482">
        <w:rPr>
          <w:rFonts w:asciiTheme="minorHAnsi" w:hAnsiTheme="minorHAnsi"/>
        </w:rPr>
        <w:t>General Provisions.</w:t>
      </w:r>
    </w:p>
    <w:p w14:paraId="36FCE6ED" w14:textId="77777777" w:rsidR="0080288C" w:rsidRPr="00F05482" w:rsidRDefault="00607FF5" w:rsidP="00257999">
      <w:pPr>
        <w:rPr>
          <w:rFonts w:asciiTheme="minorHAnsi" w:hAnsiTheme="minorHAnsi"/>
          <w:b/>
          <w:bCs/>
        </w:rPr>
      </w:pPr>
      <w:r w:rsidRPr="00F05482">
        <w:rPr>
          <w:rFonts w:asciiTheme="minorHAnsi" w:hAnsiTheme="minorHAnsi"/>
        </w:rPr>
        <w:t xml:space="preserve">Substandard Lots of Record.  </w:t>
      </w:r>
    </w:p>
    <w:p w14:paraId="18F2F7C5" w14:textId="1F5BA0DB" w:rsidR="007F5287" w:rsidRPr="00F05482" w:rsidRDefault="00607FF5" w:rsidP="00257999">
      <w:pPr>
        <w:pStyle w:val="ListParagraph"/>
        <w:numPr>
          <w:ilvl w:val="0"/>
          <w:numId w:val="9"/>
        </w:numPr>
        <w:contextualSpacing w:val="0"/>
        <w:rPr>
          <w:rFonts w:asciiTheme="minorHAnsi" w:hAnsiTheme="minorHAnsi"/>
        </w:rPr>
      </w:pPr>
      <w:r w:rsidRPr="00F05482">
        <w:rPr>
          <w:rFonts w:asciiTheme="minorHAnsi" w:hAnsiTheme="minorHAnsi"/>
        </w:rPr>
        <w:t xml:space="preserve">Notwithstanding the failure of a single substandard lot of record or contiguous lots of record to meet the dimensional and /or quantitative requirements of this zoning ordinance, and/or road frontage or other access requirements applicable to the district as stated in the ordinance, a substandard lot of record shall not be required to seek any zoning relief based solely on the failure to meet minimum </w:t>
      </w:r>
      <w:r w:rsidR="00F75737" w:rsidRPr="006F156D">
        <w:rPr>
          <w:rFonts w:asciiTheme="minorHAnsi" w:hAnsiTheme="minorHAnsi"/>
          <w:color w:val="C00000"/>
          <w:u w:val="single"/>
        </w:rPr>
        <w:t xml:space="preserve">requirements for </w:t>
      </w:r>
      <w:r w:rsidRPr="00F05482">
        <w:rPr>
          <w:rFonts w:asciiTheme="minorHAnsi" w:hAnsiTheme="minorHAnsi"/>
        </w:rPr>
        <w:t>lot size</w:t>
      </w:r>
      <w:r w:rsidR="00F75737" w:rsidRPr="006F156D">
        <w:rPr>
          <w:rFonts w:asciiTheme="minorHAnsi" w:hAnsiTheme="minorHAnsi"/>
          <w:color w:val="FF0000"/>
        </w:rPr>
        <w:t xml:space="preserve"> </w:t>
      </w:r>
      <w:r w:rsidR="00F75737" w:rsidRPr="006F156D">
        <w:rPr>
          <w:rFonts w:asciiTheme="minorHAnsi" w:hAnsiTheme="minorHAnsi"/>
          <w:strike/>
          <w:color w:val="C00000"/>
        </w:rPr>
        <w:t>requirements</w:t>
      </w:r>
      <w:r w:rsidR="00F75737" w:rsidRPr="006F156D">
        <w:rPr>
          <w:rFonts w:asciiTheme="minorHAnsi" w:hAnsiTheme="minorHAnsi"/>
          <w:color w:val="C00000"/>
          <w:u w:val="single"/>
        </w:rPr>
        <w:t>, lot frontage, lot width</w:t>
      </w:r>
      <w:r w:rsidR="007F5287" w:rsidRPr="006F156D">
        <w:rPr>
          <w:rFonts w:asciiTheme="minorHAnsi" w:hAnsiTheme="minorHAnsi"/>
          <w:color w:val="C00000"/>
          <w:u w:val="single"/>
        </w:rPr>
        <w:t>,</w:t>
      </w:r>
      <w:r w:rsidR="00F75737" w:rsidRPr="006F156D">
        <w:rPr>
          <w:rFonts w:asciiTheme="minorHAnsi" w:hAnsiTheme="minorHAnsi"/>
          <w:color w:val="C00000"/>
          <w:u w:val="single"/>
        </w:rPr>
        <w:t xml:space="preserve"> or lot depth</w:t>
      </w:r>
      <w:r w:rsidR="008214A5" w:rsidRPr="006F156D">
        <w:rPr>
          <w:rStyle w:val="FootnoteReference"/>
          <w:rFonts w:ascii="Arial" w:eastAsia="Swis721 Lt BT" w:hAnsi="Arial" w:cs="Arial"/>
          <w:b/>
          <w:bCs/>
          <w:color w:val="C00000"/>
        </w:rPr>
        <w:footnoteReference w:id="1"/>
      </w:r>
      <w:r w:rsidRPr="006F156D">
        <w:rPr>
          <w:rFonts w:asciiTheme="minorHAnsi" w:hAnsiTheme="minorHAnsi"/>
          <w:color w:val="C00000"/>
        </w:rPr>
        <w:t xml:space="preserve"> </w:t>
      </w:r>
      <w:r w:rsidRPr="00F05482">
        <w:rPr>
          <w:rFonts w:asciiTheme="minorHAnsi" w:hAnsiTheme="minorHAnsi"/>
        </w:rPr>
        <w:t xml:space="preserve">of the district in which such lot is located.  </w:t>
      </w:r>
    </w:p>
    <w:p w14:paraId="14BBB6BA" w14:textId="517F3A78" w:rsidR="00AD6DAC" w:rsidRPr="00F05482" w:rsidRDefault="00607FF5" w:rsidP="00257999">
      <w:pPr>
        <w:pStyle w:val="ListParagraph"/>
        <w:numPr>
          <w:ilvl w:val="0"/>
          <w:numId w:val="9"/>
        </w:numPr>
        <w:contextualSpacing w:val="0"/>
        <w:rPr>
          <w:rFonts w:asciiTheme="minorHAnsi" w:hAnsiTheme="minorHAnsi"/>
        </w:rPr>
      </w:pPr>
      <w:r w:rsidRPr="00F05482">
        <w:rPr>
          <w:rFonts w:asciiTheme="minorHAnsi" w:hAnsiTheme="minorHAnsi"/>
        </w:rPr>
        <w:t>For any structure proposed under this section on a substandard lot of record, the following dimensional regulations shall apply:</w:t>
      </w:r>
    </w:p>
    <w:p w14:paraId="4788D0A5" w14:textId="7A145AEC" w:rsidR="007F5287" w:rsidRPr="00F05482" w:rsidRDefault="00607FF5" w:rsidP="00257999">
      <w:pPr>
        <w:pStyle w:val="ListParagraph"/>
        <w:numPr>
          <w:ilvl w:val="1"/>
          <w:numId w:val="9"/>
        </w:numPr>
        <w:contextualSpacing w:val="0"/>
        <w:rPr>
          <w:rFonts w:asciiTheme="minorHAnsi" w:hAnsiTheme="minorHAnsi"/>
          <w:color w:val="0070C0"/>
          <w:u w:val="single"/>
        </w:rPr>
      </w:pPr>
      <w:r w:rsidRPr="00F05482">
        <w:rPr>
          <w:rFonts w:asciiTheme="minorHAnsi" w:hAnsiTheme="minorHAnsi"/>
        </w:rPr>
        <w:t>Minimum building setbacks, lot frontage</w:t>
      </w:r>
      <w:r w:rsidR="007F5287" w:rsidRPr="00F05482">
        <w:rPr>
          <w:rFonts w:asciiTheme="minorHAnsi" w:hAnsiTheme="minorHAnsi"/>
        </w:rPr>
        <w:t>,</w:t>
      </w:r>
      <w:r w:rsidRPr="00F05482">
        <w:rPr>
          <w:rFonts w:asciiTheme="minorHAnsi" w:hAnsiTheme="minorHAnsi"/>
        </w:rPr>
        <w:t xml:space="preserve"> and lot width requirements for a lot which </w:t>
      </w:r>
      <w:r w:rsidR="00DC3A7B" w:rsidRPr="00F05482">
        <w:rPr>
          <w:rFonts w:asciiTheme="minorHAnsi" w:hAnsiTheme="minorHAnsi"/>
        </w:rPr>
        <w:t>is nonconforming</w:t>
      </w:r>
      <w:r w:rsidRPr="00F05482">
        <w:rPr>
          <w:rFonts w:asciiTheme="minorHAnsi" w:hAnsiTheme="minorHAnsi"/>
        </w:rPr>
        <w:t xml:space="preserve"> in area shall be reduced by </w:t>
      </w:r>
      <w:r w:rsidRPr="006F156D">
        <w:rPr>
          <w:rFonts w:asciiTheme="minorHAnsi" w:hAnsiTheme="minorHAnsi"/>
          <w:strike/>
          <w:color w:val="C00000"/>
        </w:rPr>
        <w:t>applying the building setback, lot frontage</w:t>
      </w:r>
      <w:r w:rsidR="00DC3A7B" w:rsidRPr="006F156D">
        <w:rPr>
          <w:rFonts w:asciiTheme="minorHAnsi" w:hAnsiTheme="minorHAnsi"/>
          <w:strike/>
          <w:color w:val="C00000"/>
        </w:rPr>
        <w:t>,</w:t>
      </w:r>
      <w:r w:rsidRPr="006F156D">
        <w:rPr>
          <w:rFonts w:asciiTheme="minorHAnsi" w:hAnsiTheme="minorHAnsi"/>
          <w:strike/>
          <w:color w:val="C00000"/>
        </w:rPr>
        <w:t xml:space="preserve"> and lot width requirements from another zoning district in which the subject lot would be conforming as to lot area. If the subject lot is not conforming as to lot area in any zoning district, the setbacks, lot frontage</w:t>
      </w:r>
      <w:r w:rsidR="00DC3A7B" w:rsidRPr="006F156D">
        <w:rPr>
          <w:rFonts w:asciiTheme="minorHAnsi" w:hAnsiTheme="minorHAnsi"/>
          <w:strike/>
          <w:color w:val="C00000"/>
        </w:rPr>
        <w:t>,</w:t>
      </w:r>
      <w:r w:rsidRPr="006F156D">
        <w:rPr>
          <w:rFonts w:asciiTheme="minorHAnsi" w:hAnsiTheme="minorHAnsi"/>
          <w:strike/>
          <w:color w:val="C00000"/>
        </w:rPr>
        <w:t xml:space="preserve"> and lot width shall be reduced by</w:t>
      </w:r>
      <w:r w:rsidRPr="006F156D">
        <w:rPr>
          <w:rFonts w:asciiTheme="minorHAnsi" w:hAnsiTheme="minorHAnsi"/>
          <w:color w:val="FF0000"/>
        </w:rPr>
        <w:t xml:space="preserve"> </w:t>
      </w:r>
      <w:r w:rsidRPr="00F05482">
        <w:rPr>
          <w:rFonts w:asciiTheme="minorHAnsi" w:hAnsiTheme="minorHAnsi"/>
        </w:rPr>
        <w:t>the same proportion that the area of such substandard lot meets the minimum lot area of the district in which the lot is located. By way of example, if the lot area of a substandard lot only meets forty percent (40%) of the minimum lot area required in the district in which it is located, the setbacks, frontage and width shall each be reduced to forty percent (40%) of the requirements for those dimensional standards in the same district.</w:t>
      </w:r>
      <w:r w:rsidR="00F75737" w:rsidRPr="00F05482">
        <w:rPr>
          <w:rFonts w:asciiTheme="minorHAnsi" w:hAnsiTheme="minorHAnsi"/>
        </w:rPr>
        <w:t xml:space="preserve">  </w:t>
      </w:r>
    </w:p>
    <w:p w14:paraId="3C9CC6EA" w14:textId="5B6BC940" w:rsidR="00257999" w:rsidRPr="00F05482" w:rsidRDefault="007F5287" w:rsidP="00257999">
      <w:pPr>
        <w:pStyle w:val="ListParagraph"/>
        <w:numPr>
          <w:ilvl w:val="1"/>
          <w:numId w:val="9"/>
        </w:numPr>
        <w:contextualSpacing w:val="0"/>
        <w:rPr>
          <w:rFonts w:asciiTheme="minorHAnsi" w:hAnsiTheme="minorHAnsi"/>
          <w:color w:val="0070C0"/>
          <w:u w:val="single"/>
        </w:rPr>
      </w:pPr>
      <w:r w:rsidRPr="00F05482">
        <w:rPr>
          <w:rFonts w:asciiTheme="minorHAnsi" w:hAnsiTheme="minorHAnsi"/>
          <w:color w:val="0070C0"/>
          <w:u w:val="single"/>
        </w:rPr>
        <w:t xml:space="preserve">To </w:t>
      </w:r>
      <w:r w:rsidR="00265EF8" w:rsidRPr="00F05482">
        <w:rPr>
          <w:rFonts w:asciiTheme="minorHAnsi" w:hAnsiTheme="minorHAnsi"/>
          <w:color w:val="0070C0"/>
          <w:u w:val="single"/>
        </w:rPr>
        <w:t>the extent there is a</w:t>
      </w:r>
      <w:r w:rsidRPr="00F05482">
        <w:rPr>
          <w:rFonts w:asciiTheme="minorHAnsi" w:hAnsiTheme="minorHAnsi"/>
          <w:color w:val="0070C0"/>
          <w:u w:val="single"/>
        </w:rPr>
        <w:t>n existing</w:t>
      </w:r>
      <w:r w:rsidR="00265EF8" w:rsidRPr="00F05482">
        <w:rPr>
          <w:rFonts w:asciiTheme="minorHAnsi" w:hAnsiTheme="minorHAnsi"/>
          <w:color w:val="0070C0"/>
          <w:u w:val="single"/>
        </w:rPr>
        <w:t xml:space="preserve"> zoning district</w:t>
      </w:r>
      <w:r w:rsidRPr="00F05482">
        <w:rPr>
          <w:rFonts w:asciiTheme="minorHAnsi" w:hAnsiTheme="minorHAnsi"/>
          <w:color w:val="0070C0"/>
          <w:u w:val="single"/>
        </w:rPr>
        <w:t>, where the proposed use is identically permitted,</w:t>
      </w:r>
      <w:r w:rsidR="00265EF8" w:rsidRPr="00F05482">
        <w:rPr>
          <w:rFonts w:asciiTheme="minorHAnsi" w:hAnsiTheme="minorHAnsi"/>
          <w:color w:val="0070C0"/>
          <w:u w:val="single"/>
        </w:rPr>
        <w:t xml:space="preserve"> in which the lot would be conforming as to size, then the lot </w:t>
      </w:r>
      <w:r w:rsidR="00265EF8" w:rsidRPr="00F05482">
        <w:rPr>
          <w:rFonts w:asciiTheme="minorHAnsi" w:hAnsiTheme="minorHAnsi"/>
          <w:color w:val="0070C0"/>
          <w:u w:val="single"/>
        </w:rPr>
        <w:lastRenderedPageBreak/>
        <w:t>shall comply with building setbacks, lot frontage, and lot width for such zoning district.</w:t>
      </w:r>
      <w:r w:rsidR="00607FF5" w:rsidRPr="00F05482">
        <w:rPr>
          <w:rStyle w:val="FootnoteReference"/>
          <w:rFonts w:ascii="Arial" w:eastAsia="Swis721 Lt BT" w:hAnsi="Arial" w:cs="Arial"/>
          <w:b/>
          <w:bCs/>
          <w:color w:val="0070C0"/>
          <w:sz w:val="24"/>
          <w:szCs w:val="24"/>
        </w:rPr>
        <w:footnoteReference w:id="2"/>
      </w:r>
      <w:r w:rsidR="00265EF8" w:rsidRPr="00F05482">
        <w:rPr>
          <w:rFonts w:asciiTheme="minorHAnsi" w:hAnsiTheme="minorHAnsi"/>
          <w:b/>
          <w:bCs/>
          <w:color w:val="0070C0"/>
          <w:u w:val="single"/>
        </w:rPr>
        <w:t xml:space="preserve"> </w:t>
      </w:r>
      <w:r w:rsidR="00265EF8" w:rsidRPr="00F05482">
        <w:rPr>
          <w:rFonts w:asciiTheme="minorHAnsi" w:hAnsiTheme="minorHAnsi"/>
          <w:color w:val="0070C0"/>
          <w:u w:val="single"/>
        </w:rPr>
        <w:t xml:space="preserve">    </w:t>
      </w:r>
    </w:p>
    <w:p w14:paraId="2C745C8B" w14:textId="1F453B35" w:rsidR="00DC3A7B" w:rsidRPr="00F05482" w:rsidRDefault="00607FF5" w:rsidP="00257999">
      <w:pPr>
        <w:pStyle w:val="ListParagraph"/>
        <w:numPr>
          <w:ilvl w:val="0"/>
          <w:numId w:val="9"/>
        </w:numPr>
        <w:contextualSpacing w:val="0"/>
        <w:rPr>
          <w:rFonts w:asciiTheme="minorHAnsi" w:hAnsiTheme="minorHAnsi"/>
        </w:rPr>
      </w:pPr>
      <w:r w:rsidRPr="00F05482">
        <w:rPr>
          <w:rFonts w:asciiTheme="minorHAnsi" w:hAnsiTheme="minorHAnsi"/>
        </w:rPr>
        <w:t>Maximum lot building coverage for lots that are nonconforming in area shall be increased by the inverse proportion that the area of such substandard lot meets the minimum area requirements in the district in which the lot is located. By way of example, if the lot area of a substandard lot only meets forty percent (40%) of the required minimum lot area, the maximum lot building coverage is allowed to increase by sixty percent (60%) over the maximum permitted lot building coverage in that district.</w:t>
      </w:r>
    </w:p>
    <w:p w14:paraId="16A85275" w14:textId="7A4CAC8D" w:rsidR="00AD6DAC" w:rsidRPr="00F05482" w:rsidRDefault="00B41714" w:rsidP="00257999">
      <w:pPr>
        <w:pStyle w:val="ListParagraph"/>
        <w:numPr>
          <w:ilvl w:val="1"/>
          <w:numId w:val="9"/>
        </w:numPr>
        <w:contextualSpacing w:val="0"/>
        <w:rPr>
          <w:rFonts w:asciiTheme="minorHAnsi" w:hAnsiTheme="minorHAnsi"/>
          <w:u w:val="single"/>
        </w:rPr>
      </w:pPr>
      <w:r w:rsidRPr="00F05482">
        <w:rPr>
          <w:rFonts w:asciiTheme="minorHAnsi" w:hAnsiTheme="minorHAnsi"/>
        </w:rPr>
        <w:t>All proposals exceeding such reduced requirement shall proceed with a modification request under [INSERT LOCAL SECTION] or a dimensional variance request under [INSERT LOCAL SECTION], whichever is applicable.</w:t>
      </w:r>
    </w:p>
    <w:p w14:paraId="58DA1390" w14:textId="227B3DE4" w:rsidR="0080288C" w:rsidRPr="00F05482" w:rsidRDefault="00607FF5" w:rsidP="006F156D">
      <w:pPr>
        <w:pStyle w:val="ListParagraph"/>
        <w:numPr>
          <w:ilvl w:val="1"/>
          <w:numId w:val="9"/>
        </w:numPr>
        <w:spacing w:after="0"/>
        <w:contextualSpacing w:val="0"/>
        <w:rPr>
          <w:rFonts w:asciiTheme="minorHAnsi" w:hAnsiTheme="minorHAnsi"/>
        </w:rPr>
      </w:pPr>
      <w:r w:rsidRPr="00F05482">
        <w:rPr>
          <w:rFonts w:asciiTheme="minorHAnsi" w:hAnsiTheme="minorHAnsi"/>
        </w:rPr>
        <w:t>Merger prohibited for certain lots.</w:t>
      </w:r>
      <w:r w:rsidRPr="00F05482">
        <w:rPr>
          <w:rStyle w:val="FootnoteReference"/>
          <w:rFonts w:ascii="Arial" w:eastAsia="Swis721 Lt BT" w:hAnsi="Arial" w:cs="Arial"/>
          <w:b/>
          <w:bCs/>
          <w:sz w:val="24"/>
          <w:szCs w:val="24"/>
        </w:rPr>
        <w:footnoteReference w:id="3"/>
      </w:r>
      <w:r w:rsidRPr="00F05482">
        <w:rPr>
          <w:rFonts w:ascii="Arial" w:hAnsi="Arial" w:cs="Arial"/>
          <w:b/>
          <w:bCs/>
          <w:sz w:val="24"/>
          <w:szCs w:val="24"/>
        </w:rPr>
        <w:t xml:space="preserve"> </w:t>
      </w:r>
      <w:r w:rsidRPr="00F05482">
        <w:rPr>
          <w:rFonts w:asciiTheme="minorHAnsi" w:hAnsiTheme="minorHAnsi"/>
        </w:rPr>
        <w:t xml:space="preserve"> The merger of lots shall not be required when the substandard lot of record has an area equal to or greater than the area of fifty percent (50%) of the lots within two hundred feet (200 ft) of the subject lot, as confirmed by </w:t>
      </w:r>
      <w:r w:rsidRPr="006F156D">
        <w:rPr>
          <w:rFonts w:asciiTheme="minorHAnsi" w:hAnsiTheme="minorHAnsi"/>
          <w:strike/>
          <w:color w:val="C00000"/>
        </w:rPr>
        <w:t>the zoning enforcement officer</w:t>
      </w:r>
      <w:r w:rsidR="007F5287" w:rsidRPr="006F156D">
        <w:rPr>
          <w:rFonts w:asciiTheme="minorHAnsi" w:hAnsiTheme="minorHAnsi"/>
          <w:strike/>
          <w:color w:val="C00000"/>
        </w:rPr>
        <w:t xml:space="preserve"> </w:t>
      </w:r>
      <w:r w:rsidR="00EF338D" w:rsidRPr="006F156D">
        <w:rPr>
          <w:rFonts w:asciiTheme="minorHAnsi" w:hAnsiTheme="minorHAnsi"/>
          <w:color w:val="C00000"/>
          <w:u w:val="single"/>
        </w:rPr>
        <w:t>a compilation plan signed by a professional land surveyor as such term is defined by the rules and regulations for professional land surveying</w:t>
      </w:r>
      <w:r w:rsidRPr="006F156D">
        <w:rPr>
          <w:rFonts w:asciiTheme="minorHAnsi" w:hAnsiTheme="minorHAnsi"/>
          <w:color w:val="C00000"/>
        </w:rPr>
        <w:t xml:space="preserve">.  </w:t>
      </w:r>
    </w:p>
    <w:sectPr w:rsidR="0080288C" w:rsidRPr="00F05482" w:rsidSect="006F156D">
      <w:headerReference w:type="default" r:id="rId8"/>
      <w:footerReference w:type="default" r:id="rId9"/>
      <w:pgSz w:w="12240" w:h="15840"/>
      <w:pgMar w:top="1905" w:right="1440" w:bottom="1440" w:left="144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61DF" w14:textId="77777777" w:rsidR="00EF6BBB" w:rsidRDefault="00EF6BBB">
      <w:r>
        <w:separator/>
      </w:r>
    </w:p>
  </w:endnote>
  <w:endnote w:type="continuationSeparator" w:id="0">
    <w:p w14:paraId="3E49EB0D" w14:textId="77777777" w:rsidR="00EF6BBB" w:rsidRDefault="00EF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Lt BT">
    <w:altName w:val="Calibri"/>
    <w:panose1 w:val="020B0604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96"/>
      <w:docPartObj>
        <w:docPartGallery w:val="Page Numbers (Bottom of Page)"/>
        <w:docPartUnique/>
      </w:docPartObj>
    </w:sdtPr>
    <w:sdtEndPr>
      <w:rPr>
        <w:rFonts w:asciiTheme="minorHAnsi" w:hAnsiTheme="minorHAnsi"/>
        <w:b w:val="0"/>
        <w:bCs/>
        <w:noProof/>
        <w:sz w:val="22"/>
      </w:rPr>
    </w:sdtEndPr>
    <w:sdtContent>
      <w:p w14:paraId="1FD4AE05" w14:textId="35556089" w:rsidR="00C54522" w:rsidRPr="00F05482" w:rsidRDefault="00607FF5">
        <w:pPr>
          <w:pStyle w:val="Footer"/>
          <w:jc w:val="center"/>
          <w:rPr>
            <w:rFonts w:asciiTheme="minorHAnsi" w:hAnsiTheme="minorHAnsi"/>
            <w:b w:val="0"/>
            <w:bCs/>
            <w:sz w:val="22"/>
          </w:rPr>
        </w:pPr>
        <w:r w:rsidRPr="00F05482">
          <w:rPr>
            <w:rFonts w:asciiTheme="minorHAnsi" w:hAnsiTheme="minorHAnsi"/>
            <w:b w:val="0"/>
            <w:bCs/>
            <w:sz w:val="22"/>
          </w:rPr>
          <w:fldChar w:fldCharType="begin"/>
        </w:r>
        <w:r w:rsidRPr="00F05482">
          <w:rPr>
            <w:rFonts w:asciiTheme="minorHAnsi" w:hAnsiTheme="minorHAnsi"/>
            <w:b w:val="0"/>
            <w:bCs/>
            <w:sz w:val="22"/>
          </w:rPr>
          <w:instrText xml:space="preserve"> PAGE   \* MERGEFORMAT </w:instrText>
        </w:r>
        <w:r w:rsidRPr="00F05482">
          <w:rPr>
            <w:rFonts w:asciiTheme="minorHAnsi" w:hAnsiTheme="minorHAnsi"/>
            <w:b w:val="0"/>
            <w:bCs/>
            <w:sz w:val="22"/>
          </w:rPr>
          <w:fldChar w:fldCharType="separate"/>
        </w:r>
        <w:r w:rsidRPr="00F05482">
          <w:rPr>
            <w:rFonts w:asciiTheme="minorHAnsi" w:hAnsiTheme="minorHAnsi"/>
            <w:b w:val="0"/>
            <w:bCs/>
            <w:noProof/>
            <w:sz w:val="22"/>
          </w:rPr>
          <w:t>2</w:t>
        </w:r>
        <w:r w:rsidRPr="00F05482">
          <w:rPr>
            <w:rFonts w:asciiTheme="minorHAnsi" w:hAnsiTheme="minorHAnsi"/>
            <w:b w:val="0"/>
            <w:bCs/>
            <w:noProof/>
            <w:sz w:val="22"/>
          </w:rPr>
          <w:fldChar w:fldCharType="end"/>
        </w:r>
      </w:p>
    </w:sdtContent>
  </w:sdt>
  <w:p w14:paraId="79F6C575" w14:textId="77777777" w:rsidR="00C54522" w:rsidRDefault="00C5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A2AA" w14:textId="77777777" w:rsidR="00EF6BBB" w:rsidRDefault="00EF6BBB">
      <w:r>
        <w:separator/>
      </w:r>
    </w:p>
  </w:footnote>
  <w:footnote w:type="continuationSeparator" w:id="0">
    <w:p w14:paraId="14817050" w14:textId="77777777" w:rsidR="00EF6BBB" w:rsidRDefault="00EF6BBB">
      <w:r>
        <w:continuationSeparator/>
      </w:r>
    </w:p>
  </w:footnote>
  <w:footnote w:id="1">
    <w:p w14:paraId="1936AF01" w14:textId="65B32104" w:rsidR="008214A5" w:rsidRPr="008214A5" w:rsidRDefault="008214A5" w:rsidP="00F05482">
      <w:pPr>
        <w:pStyle w:val="FootnoteText"/>
        <w:spacing w:before="0" w:after="0"/>
      </w:pPr>
      <w:r w:rsidRPr="00257999">
        <w:rPr>
          <w:rStyle w:val="FooterChar"/>
          <w:vertAlign w:val="superscript"/>
        </w:rPr>
        <w:footnoteRef/>
      </w:r>
      <w:r w:rsidRPr="008214A5">
        <w:rPr>
          <w:b/>
          <w:bCs/>
          <w:sz w:val="24"/>
          <w:szCs w:val="24"/>
        </w:rPr>
        <w:t xml:space="preserve"> </w:t>
      </w:r>
      <w:r w:rsidRPr="00257999">
        <w:rPr>
          <w:rStyle w:val="FooterTextChar"/>
        </w:rPr>
        <w:t xml:space="preserve">Under 45-24-38(b) of the bill text the measurement of lot depth is included in the language concerning which dimensional requirements do not need to seek zoning relief based solely on the failure to meet minimum requirements. </w:t>
      </w:r>
      <w:r w:rsidR="00AC62AB" w:rsidRPr="00257999">
        <w:rPr>
          <w:rStyle w:val="FooterTextChar"/>
        </w:rPr>
        <w:t>Subsection (b)(1) appears to have inadvertently left the dimensional requirement of lot depth out of those described as being granted a reduction as defined in that section. Municipalities should consult their solicitor(s).</w:t>
      </w:r>
    </w:p>
  </w:footnote>
  <w:footnote w:id="2">
    <w:p w14:paraId="4FA38262" w14:textId="67490961" w:rsidR="00265EF8" w:rsidRPr="007F5287" w:rsidRDefault="00607FF5" w:rsidP="00F05482">
      <w:pPr>
        <w:pStyle w:val="FooterText"/>
        <w:spacing w:before="0" w:after="0"/>
      </w:pPr>
      <w:r w:rsidRPr="00257999">
        <w:rPr>
          <w:rStyle w:val="FooterChar"/>
          <w:vertAlign w:val="superscript"/>
        </w:rPr>
        <w:footnoteRef/>
      </w:r>
      <w:r w:rsidRPr="00257999">
        <w:rPr>
          <w:rStyle w:val="FooterChar"/>
          <w:vertAlign w:val="superscript"/>
        </w:rPr>
        <w:t xml:space="preserve"> </w:t>
      </w:r>
      <w:r w:rsidRPr="007F5287">
        <w:t>The statutory language reads as follows:  “However, to the extent the city or town has a zoning district in which the lot would be conforming as to size, the city or town may require compliance with the building setback, lot frontage, and lot width requirements for said zoning district if such requirement is in the local zoning ordinance.”  Municipalities may choose to apply this exception to all or certain stated zoning districts</w:t>
      </w:r>
      <w:r w:rsidR="007F5287">
        <w:t xml:space="preserve"> and may require (as is shown in this template as an example) that the use has to be identically permitted in the zoning district in which the lot size would be conforming as to the district in which the lot is located.</w:t>
      </w:r>
    </w:p>
  </w:footnote>
  <w:footnote w:id="3">
    <w:p w14:paraId="15128395" w14:textId="3D8960C9" w:rsidR="00B030B2" w:rsidRPr="000E65FC" w:rsidRDefault="00607FF5" w:rsidP="00F05482">
      <w:pPr>
        <w:pStyle w:val="FooterText"/>
        <w:spacing w:before="60" w:after="60"/>
      </w:pPr>
      <w:r w:rsidRPr="00257999">
        <w:rPr>
          <w:rStyle w:val="FooterChar"/>
          <w:vertAlign w:val="superscript"/>
        </w:rPr>
        <w:footnoteRef/>
      </w:r>
      <w:r w:rsidRPr="00257999">
        <w:rPr>
          <w:rStyle w:val="FooterChar"/>
          <w:vertAlign w:val="superscript"/>
        </w:rPr>
        <w:t xml:space="preserve"> </w:t>
      </w:r>
      <w:r w:rsidRPr="000E65FC">
        <w:t xml:space="preserve">Other than what is required here, merger of lots is permissible when the ordinance specifies the standards, on a district-by-district basis, including but not limited to, availability of infrastructure, character of the neighborhood, and the consistency </w:t>
      </w:r>
      <w:r w:rsidRPr="00AC62AB">
        <w:t>with the comprehensive plan.</w:t>
      </w:r>
      <w:r w:rsidRPr="000E65FC">
        <w:rPr>
          <w:rFonts w:ascii="Swis721 Lt BT" w:hAnsi="Swis721 Lt BT" w:cs="Swis721 Lt BT"/>
        </w:rPr>
        <w:t xml:space="preserve">  </w:t>
      </w:r>
    </w:p>
    <w:p w14:paraId="7C8C0452" w14:textId="024E9B76" w:rsidR="00B030B2" w:rsidRPr="00B030B2" w:rsidRDefault="00B030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2BD3" w14:textId="7D3F637A" w:rsidR="00C54522" w:rsidRPr="00A73A43" w:rsidRDefault="00A73A43" w:rsidP="00DA25C0">
    <w:pPr>
      <w:tabs>
        <w:tab w:val="center" w:pos="4680"/>
        <w:tab w:val="right" w:pos="9360"/>
      </w:tabs>
      <w:spacing w:before="0" w:after="0"/>
      <w:rPr>
        <w:rFonts w:cstheme="minorHAnsi"/>
        <w:b/>
        <w:bCs/>
        <w:sz w:val="20"/>
        <w:szCs w:val="20"/>
      </w:rPr>
    </w:pPr>
    <w:r w:rsidRPr="00A73A43">
      <w:rPr>
        <w:rFonts w:ascii="Swis721 Lt BT" w:eastAsia="Times New Roman" w:hAnsi="Swis721 Lt BT"/>
        <w:b/>
        <w:bCs/>
        <w:noProof/>
        <w:sz w:val="26"/>
        <w:szCs w:val="24"/>
      </w:rPr>
      <w:drawing>
        <wp:anchor distT="0" distB="0" distL="114300" distR="114300" simplePos="0" relativeHeight="251659264" behindDoc="0" locked="0" layoutInCell="1" allowOverlap="1" wp14:anchorId="03D8309E" wp14:editId="11AB4E37">
          <wp:simplePos x="0" y="0"/>
          <wp:positionH relativeFrom="column">
            <wp:posOffset>0</wp:posOffset>
          </wp:positionH>
          <wp:positionV relativeFrom="paragraph">
            <wp:posOffset>-130134</wp:posOffset>
          </wp:positionV>
          <wp:extent cx="1892080" cy="869950"/>
          <wp:effectExtent l="0" t="0" r="635" b="0"/>
          <wp:wrapSquare wrapText="bothSides"/>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892080"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7FF5" w:rsidRPr="00A73A43">
      <w:rPr>
        <w:rFonts w:cstheme="minorHAnsi"/>
        <w:b/>
        <w:bCs/>
        <w:sz w:val="20"/>
        <w:szCs w:val="20"/>
      </w:rPr>
      <w:t xml:space="preserve">Zoning Ordinance </w:t>
    </w:r>
    <w:r w:rsidR="00607FF5" w:rsidRPr="00A73A43">
      <w:rPr>
        <w:rFonts w:cstheme="minorHAnsi"/>
        <w:b/>
        <w:bCs/>
        <w:sz w:val="20"/>
        <w:szCs w:val="20"/>
      </w:rPr>
      <w:tab/>
    </w:r>
    <w:r w:rsidR="00607FF5" w:rsidRPr="00A73A43">
      <w:rPr>
        <w:rFonts w:cstheme="minorHAnsi"/>
        <w:b/>
        <w:bCs/>
        <w:sz w:val="20"/>
        <w:szCs w:val="20"/>
      </w:rPr>
      <w:tab/>
    </w:r>
    <w:r w:rsidR="00257999" w:rsidRPr="00A73A43">
      <w:rPr>
        <w:rFonts w:cstheme="minorHAnsi"/>
        <w:b/>
        <w:bCs/>
        <w:sz w:val="20"/>
        <w:szCs w:val="20"/>
      </w:rPr>
      <w:t>02</w:t>
    </w:r>
    <w:r w:rsidR="008325AE" w:rsidRPr="00A73A43">
      <w:rPr>
        <w:rFonts w:cstheme="minorHAnsi"/>
        <w:b/>
        <w:bCs/>
        <w:sz w:val="20"/>
        <w:szCs w:val="20"/>
      </w:rPr>
      <w:t>/</w:t>
    </w:r>
    <w:r w:rsidR="00257999" w:rsidRPr="00A73A43">
      <w:rPr>
        <w:rFonts w:cstheme="minorHAnsi"/>
        <w:b/>
        <w:bCs/>
        <w:sz w:val="20"/>
        <w:szCs w:val="20"/>
      </w:rPr>
      <w:t>09</w:t>
    </w:r>
    <w:r w:rsidR="008325AE" w:rsidRPr="00A73A43">
      <w:rPr>
        <w:rFonts w:cstheme="minorHAnsi"/>
        <w:b/>
        <w:bCs/>
        <w:sz w:val="20"/>
        <w:szCs w:val="20"/>
      </w:rPr>
      <w:t>/2026</w:t>
    </w:r>
  </w:p>
  <w:p w14:paraId="7BD206CE" w14:textId="2206BD7E" w:rsidR="008325AE" w:rsidRPr="00A73A43" w:rsidRDefault="00607FF5" w:rsidP="00DA25C0">
    <w:pPr>
      <w:spacing w:before="0" w:after="0"/>
      <w:rPr>
        <w:rFonts w:cstheme="minorHAnsi"/>
        <w:b/>
        <w:bCs/>
        <w:sz w:val="20"/>
        <w:szCs w:val="20"/>
      </w:rPr>
    </w:pPr>
    <w:r w:rsidRPr="00A73A43">
      <w:rPr>
        <w:rFonts w:cstheme="minorHAnsi"/>
        <w:b/>
        <w:bCs/>
        <w:sz w:val="20"/>
        <w:szCs w:val="20"/>
      </w:rPr>
      <w:t>H 5794B</w:t>
    </w:r>
    <w:r w:rsidR="00610718" w:rsidRPr="00A73A43">
      <w:rPr>
        <w:rFonts w:cstheme="minorHAnsi"/>
        <w:b/>
        <w:bCs/>
        <w:sz w:val="20"/>
        <w:szCs w:val="20"/>
      </w:rPr>
      <w:t>, S 1086Aaa</w:t>
    </w:r>
  </w:p>
  <w:p w14:paraId="78731674" w14:textId="48A22B0D" w:rsidR="00C54522" w:rsidRPr="006F156D" w:rsidRDefault="00607FF5" w:rsidP="00DA25C0">
    <w:pPr>
      <w:tabs>
        <w:tab w:val="center" w:pos="4680"/>
        <w:tab w:val="right" w:pos="9360"/>
      </w:tabs>
      <w:spacing w:before="0" w:after="0"/>
      <w:rPr>
        <w:rFonts w:cstheme="minorHAnsi"/>
        <w:sz w:val="20"/>
        <w:szCs w:val="20"/>
      </w:rPr>
    </w:pPr>
    <w:r w:rsidRPr="00A73A43">
      <w:rPr>
        <w:rFonts w:cstheme="minorHAnsi"/>
        <w:b/>
        <w:bCs/>
        <w:sz w:val="20"/>
        <w:szCs w:val="20"/>
      </w:rPr>
      <w:t>Substandard Lots</w:t>
    </w:r>
    <w:r w:rsidRPr="00A73A43">
      <w:rPr>
        <w:rFonts w:cstheme="minorHAnsi"/>
        <w:b/>
        <w:bCs/>
        <w:sz w:val="20"/>
        <w:szCs w:val="20"/>
      </w:rPr>
      <w:tab/>
    </w:r>
    <w:r w:rsidRPr="006F156D">
      <w:rPr>
        <w:rFonts w:cstheme="minorHAns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0BE2B5C"/>
    <w:lvl w:ilvl="0" w:tplc="D56AC1B6">
      <w:start w:val="1"/>
      <w:numFmt w:val="lowerLetter"/>
      <w:lvlText w:val="%1."/>
      <w:lvlJc w:val="left"/>
      <w:pPr>
        <w:ind w:left="0" w:firstLine="0"/>
      </w:pPr>
      <w:rPr>
        <w:rFonts w:ascii="Swis721 Lt BT" w:hAnsi="Swis721 Lt BT" w:hint="default"/>
        <w:color w:val="C00000"/>
        <w:sz w:val="20"/>
        <w:szCs w:val="20"/>
      </w:rPr>
    </w:lvl>
    <w:lvl w:ilvl="1" w:tplc="FCACEB86">
      <w:start w:val="1"/>
      <w:numFmt w:val="bullet"/>
      <w:lvlText w:val="o"/>
      <w:lvlJc w:val="left"/>
      <w:pPr>
        <w:tabs>
          <w:tab w:val="num" w:pos="1440"/>
        </w:tabs>
        <w:ind w:left="1440" w:hanging="360"/>
      </w:pPr>
      <w:rPr>
        <w:rFonts w:ascii="Courier New" w:hAnsi="Courier New"/>
      </w:rPr>
    </w:lvl>
    <w:lvl w:ilvl="2" w:tplc="2D7C4C12">
      <w:start w:val="1"/>
      <w:numFmt w:val="bullet"/>
      <w:lvlText w:val=""/>
      <w:lvlJc w:val="left"/>
      <w:pPr>
        <w:tabs>
          <w:tab w:val="num" w:pos="2160"/>
        </w:tabs>
        <w:ind w:left="2160" w:hanging="360"/>
      </w:pPr>
      <w:rPr>
        <w:rFonts w:ascii="Wingdings" w:hAnsi="Wingdings"/>
      </w:rPr>
    </w:lvl>
    <w:lvl w:ilvl="3" w:tplc="C89A7822">
      <w:start w:val="1"/>
      <w:numFmt w:val="bullet"/>
      <w:lvlText w:val=""/>
      <w:lvlJc w:val="left"/>
      <w:pPr>
        <w:tabs>
          <w:tab w:val="num" w:pos="2880"/>
        </w:tabs>
        <w:ind w:left="2880" w:hanging="360"/>
      </w:pPr>
      <w:rPr>
        <w:rFonts w:ascii="Symbol" w:hAnsi="Symbol"/>
      </w:rPr>
    </w:lvl>
    <w:lvl w:ilvl="4" w:tplc="4948A290">
      <w:start w:val="1"/>
      <w:numFmt w:val="bullet"/>
      <w:lvlText w:val="o"/>
      <w:lvlJc w:val="left"/>
      <w:pPr>
        <w:tabs>
          <w:tab w:val="num" w:pos="3600"/>
        </w:tabs>
        <w:ind w:left="3600" w:hanging="360"/>
      </w:pPr>
      <w:rPr>
        <w:rFonts w:ascii="Courier New" w:hAnsi="Courier New"/>
      </w:rPr>
    </w:lvl>
    <w:lvl w:ilvl="5" w:tplc="F03019F0">
      <w:start w:val="1"/>
      <w:numFmt w:val="bullet"/>
      <w:lvlText w:val=""/>
      <w:lvlJc w:val="left"/>
      <w:pPr>
        <w:tabs>
          <w:tab w:val="num" w:pos="4320"/>
        </w:tabs>
        <w:ind w:left="4320" w:hanging="360"/>
      </w:pPr>
      <w:rPr>
        <w:rFonts w:ascii="Wingdings" w:hAnsi="Wingdings"/>
      </w:rPr>
    </w:lvl>
    <w:lvl w:ilvl="6" w:tplc="857A3060">
      <w:start w:val="1"/>
      <w:numFmt w:val="bullet"/>
      <w:lvlText w:val=""/>
      <w:lvlJc w:val="left"/>
      <w:pPr>
        <w:tabs>
          <w:tab w:val="num" w:pos="5040"/>
        </w:tabs>
        <w:ind w:left="5040" w:hanging="360"/>
      </w:pPr>
      <w:rPr>
        <w:rFonts w:ascii="Symbol" w:hAnsi="Symbol"/>
      </w:rPr>
    </w:lvl>
    <w:lvl w:ilvl="7" w:tplc="5F0E1B08">
      <w:start w:val="1"/>
      <w:numFmt w:val="bullet"/>
      <w:lvlText w:val="o"/>
      <w:lvlJc w:val="left"/>
      <w:pPr>
        <w:tabs>
          <w:tab w:val="num" w:pos="5760"/>
        </w:tabs>
        <w:ind w:left="5760" w:hanging="360"/>
      </w:pPr>
      <w:rPr>
        <w:rFonts w:ascii="Courier New" w:hAnsi="Courier New"/>
      </w:rPr>
    </w:lvl>
    <w:lvl w:ilvl="8" w:tplc="817AC72E">
      <w:start w:val="1"/>
      <w:numFmt w:val="bullet"/>
      <w:lvlText w:val=""/>
      <w:lvlJc w:val="left"/>
      <w:pPr>
        <w:tabs>
          <w:tab w:val="num" w:pos="6480"/>
        </w:tabs>
        <w:ind w:left="6480" w:hanging="360"/>
      </w:pPr>
      <w:rPr>
        <w:rFonts w:ascii="Wingdings" w:hAnsi="Wingdings"/>
      </w:rPr>
    </w:lvl>
  </w:abstractNum>
  <w:abstractNum w:abstractNumId="1" w15:restartNumberingAfterBreak="0">
    <w:nsid w:val="2C71173F"/>
    <w:multiLevelType w:val="hybridMultilevel"/>
    <w:tmpl w:val="24C8830E"/>
    <w:lvl w:ilvl="0" w:tplc="D1203F56">
      <w:start w:val="1"/>
      <w:numFmt w:val="lowerLetter"/>
      <w:lvlText w:val="%1."/>
      <w:lvlJc w:val="left"/>
      <w:pPr>
        <w:ind w:left="1080" w:hanging="360"/>
      </w:pPr>
      <w:rPr>
        <w:rFonts w:eastAsia="Swis721 Lt BT" w:hint="default"/>
      </w:rPr>
    </w:lvl>
    <w:lvl w:ilvl="1" w:tplc="4850A51C">
      <w:start w:val="1"/>
      <w:numFmt w:val="lowerRoman"/>
      <w:lvlText w:val="%2."/>
      <w:lvlJc w:val="righ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B3526B"/>
    <w:multiLevelType w:val="multilevel"/>
    <w:tmpl w:val="304C5DE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color w:val="000000" w:themeColor="text1"/>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A63716E"/>
    <w:multiLevelType w:val="hybridMultilevel"/>
    <w:tmpl w:val="980A2E0C"/>
    <w:lvl w:ilvl="0" w:tplc="CD5A7876">
      <w:start w:val="1"/>
      <w:numFmt w:val="bullet"/>
      <w:lvlText w:val=""/>
      <w:lvlJc w:val="left"/>
      <w:pPr>
        <w:ind w:left="720" w:hanging="360"/>
      </w:pPr>
      <w:rPr>
        <w:rFonts w:ascii="Symbol" w:hAnsi="Symbol"/>
      </w:rPr>
    </w:lvl>
    <w:lvl w:ilvl="1" w:tplc="EC541B94">
      <w:start w:val="1"/>
      <w:numFmt w:val="bullet"/>
      <w:lvlText w:val=""/>
      <w:lvlJc w:val="left"/>
      <w:pPr>
        <w:ind w:left="720" w:hanging="360"/>
      </w:pPr>
      <w:rPr>
        <w:rFonts w:ascii="Symbol" w:hAnsi="Symbol"/>
      </w:rPr>
    </w:lvl>
    <w:lvl w:ilvl="2" w:tplc="607CDC2A">
      <w:start w:val="1"/>
      <w:numFmt w:val="bullet"/>
      <w:lvlText w:val=""/>
      <w:lvlJc w:val="left"/>
      <w:pPr>
        <w:ind w:left="720" w:hanging="360"/>
      </w:pPr>
      <w:rPr>
        <w:rFonts w:ascii="Symbol" w:hAnsi="Symbol"/>
      </w:rPr>
    </w:lvl>
    <w:lvl w:ilvl="3" w:tplc="EDBCFE38">
      <w:start w:val="1"/>
      <w:numFmt w:val="bullet"/>
      <w:lvlText w:val=""/>
      <w:lvlJc w:val="left"/>
      <w:pPr>
        <w:ind w:left="720" w:hanging="360"/>
      </w:pPr>
      <w:rPr>
        <w:rFonts w:ascii="Symbol" w:hAnsi="Symbol"/>
      </w:rPr>
    </w:lvl>
    <w:lvl w:ilvl="4" w:tplc="3600F28C">
      <w:start w:val="1"/>
      <w:numFmt w:val="bullet"/>
      <w:lvlText w:val=""/>
      <w:lvlJc w:val="left"/>
      <w:pPr>
        <w:ind w:left="720" w:hanging="360"/>
      </w:pPr>
      <w:rPr>
        <w:rFonts w:ascii="Symbol" w:hAnsi="Symbol"/>
      </w:rPr>
    </w:lvl>
    <w:lvl w:ilvl="5" w:tplc="9222B6AC">
      <w:start w:val="1"/>
      <w:numFmt w:val="bullet"/>
      <w:lvlText w:val=""/>
      <w:lvlJc w:val="left"/>
      <w:pPr>
        <w:ind w:left="720" w:hanging="360"/>
      </w:pPr>
      <w:rPr>
        <w:rFonts w:ascii="Symbol" w:hAnsi="Symbol"/>
      </w:rPr>
    </w:lvl>
    <w:lvl w:ilvl="6" w:tplc="7D44140A">
      <w:start w:val="1"/>
      <w:numFmt w:val="bullet"/>
      <w:lvlText w:val=""/>
      <w:lvlJc w:val="left"/>
      <w:pPr>
        <w:ind w:left="720" w:hanging="360"/>
      </w:pPr>
      <w:rPr>
        <w:rFonts w:ascii="Symbol" w:hAnsi="Symbol"/>
      </w:rPr>
    </w:lvl>
    <w:lvl w:ilvl="7" w:tplc="2C10B5A4">
      <w:start w:val="1"/>
      <w:numFmt w:val="bullet"/>
      <w:lvlText w:val=""/>
      <w:lvlJc w:val="left"/>
      <w:pPr>
        <w:ind w:left="720" w:hanging="360"/>
      </w:pPr>
      <w:rPr>
        <w:rFonts w:ascii="Symbol" w:hAnsi="Symbol"/>
      </w:rPr>
    </w:lvl>
    <w:lvl w:ilvl="8" w:tplc="FA785EAC">
      <w:start w:val="1"/>
      <w:numFmt w:val="bullet"/>
      <w:lvlText w:val=""/>
      <w:lvlJc w:val="left"/>
      <w:pPr>
        <w:ind w:left="720" w:hanging="360"/>
      </w:pPr>
      <w:rPr>
        <w:rFonts w:ascii="Symbol" w:hAnsi="Symbol"/>
      </w:rPr>
    </w:lvl>
  </w:abstractNum>
  <w:abstractNum w:abstractNumId="4" w15:restartNumberingAfterBreak="0">
    <w:nsid w:val="4D200FC3"/>
    <w:multiLevelType w:val="hybridMultilevel"/>
    <w:tmpl w:val="C4C2BF9A"/>
    <w:lvl w:ilvl="0" w:tplc="18885990">
      <w:start w:val="1"/>
      <w:numFmt w:val="bullet"/>
      <w:lvlText w:val=""/>
      <w:lvlJc w:val="left"/>
      <w:pPr>
        <w:ind w:left="720" w:hanging="360"/>
      </w:pPr>
      <w:rPr>
        <w:rFonts w:ascii="Symbol" w:hAnsi="Symbol"/>
      </w:rPr>
    </w:lvl>
    <w:lvl w:ilvl="1" w:tplc="6D84BD66">
      <w:start w:val="1"/>
      <w:numFmt w:val="bullet"/>
      <w:lvlText w:val=""/>
      <w:lvlJc w:val="left"/>
      <w:pPr>
        <w:ind w:left="720" w:hanging="360"/>
      </w:pPr>
      <w:rPr>
        <w:rFonts w:ascii="Symbol" w:hAnsi="Symbol"/>
      </w:rPr>
    </w:lvl>
    <w:lvl w:ilvl="2" w:tplc="A2E6F454">
      <w:start w:val="1"/>
      <w:numFmt w:val="bullet"/>
      <w:lvlText w:val=""/>
      <w:lvlJc w:val="left"/>
      <w:pPr>
        <w:ind w:left="720" w:hanging="360"/>
      </w:pPr>
      <w:rPr>
        <w:rFonts w:ascii="Symbol" w:hAnsi="Symbol"/>
      </w:rPr>
    </w:lvl>
    <w:lvl w:ilvl="3" w:tplc="DE608F70">
      <w:start w:val="1"/>
      <w:numFmt w:val="bullet"/>
      <w:lvlText w:val=""/>
      <w:lvlJc w:val="left"/>
      <w:pPr>
        <w:ind w:left="720" w:hanging="360"/>
      </w:pPr>
      <w:rPr>
        <w:rFonts w:ascii="Symbol" w:hAnsi="Symbol"/>
      </w:rPr>
    </w:lvl>
    <w:lvl w:ilvl="4" w:tplc="5EBCDF96">
      <w:start w:val="1"/>
      <w:numFmt w:val="bullet"/>
      <w:lvlText w:val=""/>
      <w:lvlJc w:val="left"/>
      <w:pPr>
        <w:ind w:left="720" w:hanging="360"/>
      </w:pPr>
      <w:rPr>
        <w:rFonts w:ascii="Symbol" w:hAnsi="Symbol"/>
      </w:rPr>
    </w:lvl>
    <w:lvl w:ilvl="5" w:tplc="0B924816">
      <w:start w:val="1"/>
      <w:numFmt w:val="bullet"/>
      <w:lvlText w:val=""/>
      <w:lvlJc w:val="left"/>
      <w:pPr>
        <w:ind w:left="720" w:hanging="360"/>
      </w:pPr>
      <w:rPr>
        <w:rFonts w:ascii="Symbol" w:hAnsi="Symbol"/>
      </w:rPr>
    </w:lvl>
    <w:lvl w:ilvl="6" w:tplc="C1964436">
      <w:start w:val="1"/>
      <w:numFmt w:val="bullet"/>
      <w:lvlText w:val=""/>
      <w:lvlJc w:val="left"/>
      <w:pPr>
        <w:ind w:left="720" w:hanging="360"/>
      </w:pPr>
      <w:rPr>
        <w:rFonts w:ascii="Symbol" w:hAnsi="Symbol"/>
      </w:rPr>
    </w:lvl>
    <w:lvl w:ilvl="7" w:tplc="61BAAC22">
      <w:start w:val="1"/>
      <w:numFmt w:val="bullet"/>
      <w:lvlText w:val=""/>
      <w:lvlJc w:val="left"/>
      <w:pPr>
        <w:ind w:left="720" w:hanging="360"/>
      </w:pPr>
      <w:rPr>
        <w:rFonts w:ascii="Symbol" w:hAnsi="Symbol"/>
      </w:rPr>
    </w:lvl>
    <w:lvl w:ilvl="8" w:tplc="14C8B18A">
      <w:start w:val="1"/>
      <w:numFmt w:val="bullet"/>
      <w:lvlText w:val=""/>
      <w:lvlJc w:val="left"/>
      <w:pPr>
        <w:ind w:left="720" w:hanging="360"/>
      </w:pPr>
      <w:rPr>
        <w:rFonts w:ascii="Symbol" w:hAnsi="Symbol"/>
      </w:rPr>
    </w:lvl>
  </w:abstractNum>
  <w:abstractNum w:abstractNumId="5" w15:restartNumberingAfterBreak="0">
    <w:nsid w:val="595B4A44"/>
    <w:multiLevelType w:val="hybridMultilevel"/>
    <w:tmpl w:val="341447DE"/>
    <w:lvl w:ilvl="0" w:tplc="8B7A3A5C">
      <w:start w:val="1"/>
      <w:numFmt w:val="decimal"/>
      <w:lvlText w:val="%1."/>
      <w:lvlJc w:val="left"/>
      <w:pPr>
        <w:ind w:left="1080" w:hanging="360"/>
      </w:pPr>
      <w:rPr>
        <w:rFonts w:ascii="Swis721 Lt BT" w:hAnsi="Swis721 Lt BT" w:hint="default"/>
        <w:color w:val="0070C0"/>
        <w:u w:val="none"/>
      </w:rPr>
    </w:lvl>
    <w:lvl w:ilvl="1" w:tplc="325AF87A" w:tentative="1">
      <w:start w:val="1"/>
      <w:numFmt w:val="lowerLetter"/>
      <w:lvlText w:val="%2."/>
      <w:lvlJc w:val="left"/>
      <w:pPr>
        <w:ind w:left="1800" w:hanging="360"/>
      </w:pPr>
    </w:lvl>
    <w:lvl w:ilvl="2" w:tplc="F4FE4CE0" w:tentative="1">
      <w:start w:val="1"/>
      <w:numFmt w:val="lowerRoman"/>
      <w:lvlText w:val="%3."/>
      <w:lvlJc w:val="right"/>
      <w:pPr>
        <w:ind w:left="2520" w:hanging="180"/>
      </w:pPr>
    </w:lvl>
    <w:lvl w:ilvl="3" w:tplc="A4A027DA" w:tentative="1">
      <w:start w:val="1"/>
      <w:numFmt w:val="decimal"/>
      <w:lvlText w:val="%4."/>
      <w:lvlJc w:val="left"/>
      <w:pPr>
        <w:ind w:left="3240" w:hanging="360"/>
      </w:pPr>
    </w:lvl>
    <w:lvl w:ilvl="4" w:tplc="231092D8" w:tentative="1">
      <w:start w:val="1"/>
      <w:numFmt w:val="lowerLetter"/>
      <w:lvlText w:val="%5."/>
      <w:lvlJc w:val="left"/>
      <w:pPr>
        <w:ind w:left="3960" w:hanging="360"/>
      </w:pPr>
    </w:lvl>
    <w:lvl w:ilvl="5" w:tplc="08005B34" w:tentative="1">
      <w:start w:val="1"/>
      <w:numFmt w:val="lowerRoman"/>
      <w:lvlText w:val="%6."/>
      <w:lvlJc w:val="right"/>
      <w:pPr>
        <w:ind w:left="4680" w:hanging="180"/>
      </w:pPr>
    </w:lvl>
    <w:lvl w:ilvl="6" w:tplc="3118E74A" w:tentative="1">
      <w:start w:val="1"/>
      <w:numFmt w:val="decimal"/>
      <w:lvlText w:val="%7."/>
      <w:lvlJc w:val="left"/>
      <w:pPr>
        <w:ind w:left="5400" w:hanging="360"/>
      </w:pPr>
    </w:lvl>
    <w:lvl w:ilvl="7" w:tplc="8E2005D6" w:tentative="1">
      <w:start w:val="1"/>
      <w:numFmt w:val="lowerLetter"/>
      <w:lvlText w:val="%8."/>
      <w:lvlJc w:val="left"/>
      <w:pPr>
        <w:ind w:left="6120" w:hanging="360"/>
      </w:pPr>
    </w:lvl>
    <w:lvl w:ilvl="8" w:tplc="30C423BC" w:tentative="1">
      <w:start w:val="1"/>
      <w:numFmt w:val="lowerRoman"/>
      <w:lvlText w:val="%9."/>
      <w:lvlJc w:val="right"/>
      <w:pPr>
        <w:ind w:left="6840" w:hanging="180"/>
      </w:pPr>
    </w:lvl>
  </w:abstractNum>
  <w:abstractNum w:abstractNumId="6" w15:restartNumberingAfterBreak="0">
    <w:nsid w:val="621929EC"/>
    <w:multiLevelType w:val="hybridMultilevel"/>
    <w:tmpl w:val="F8EE774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9115B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5C0299"/>
    <w:multiLevelType w:val="multilevel"/>
    <w:tmpl w:val="ED64DCEC"/>
    <w:lvl w:ilvl="0">
      <w:start w:val="1"/>
      <w:numFmt w:val="decimal"/>
      <w:lvlText w:val="%1"/>
      <w:lvlJc w:val="left"/>
      <w:pPr>
        <w:ind w:left="432" w:hanging="432"/>
      </w:pPr>
    </w:lvl>
    <w:lvl w:ilvl="1">
      <w:start w:val="1"/>
      <w:numFmt w:val="decimal"/>
      <w:pStyle w:val="Heading2"/>
      <w:lvlText w:val="%1.%2"/>
      <w:lvlJc w:val="left"/>
      <w:pPr>
        <w:ind w:left="576" w:hanging="576"/>
      </w:pPr>
      <w:rPr>
        <w:rFonts w:ascii="Swis721 Lt BT" w:hAnsi="Swis721 Lt BT" w:hint="default"/>
        <w:b w:val="0"/>
        <w:bCs w:val="0"/>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69577623">
    <w:abstractNumId w:val="0"/>
  </w:num>
  <w:num w:numId="2" w16cid:durableId="1444687990">
    <w:abstractNumId w:val="5"/>
  </w:num>
  <w:num w:numId="3" w16cid:durableId="1242370452">
    <w:abstractNumId w:val="8"/>
  </w:num>
  <w:num w:numId="4" w16cid:durableId="656609463">
    <w:abstractNumId w:val="7"/>
  </w:num>
  <w:num w:numId="5" w16cid:durableId="1122966448">
    <w:abstractNumId w:val="1"/>
  </w:num>
  <w:num w:numId="6" w16cid:durableId="1440292978">
    <w:abstractNumId w:val="6"/>
  </w:num>
  <w:num w:numId="7" w16cid:durableId="1028291608">
    <w:abstractNumId w:val="4"/>
  </w:num>
  <w:num w:numId="8" w16cid:durableId="563181015">
    <w:abstractNumId w:val="3"/>
  </w:num>
  <w:num w:numId="9" w16cid:durableId="761024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NzUyMzQ2MDYzMDZV0lEKTi0uzszPAykwrAUAupwoiCwAAAA="/>
  </w:docVars>
  <w:rsids>
    <w:rsidRoot w:val="0080288C"/>
    <w:rsid w:val="00060D87"/>
    <w:rsid w:val="00093D9F"/>
    <w:rsid w:val="000E65FC"/>
    <w:rsid w:val="00257999"/>
    <w:rsid w:val="00265EF8"/>
    <w:rsid w:val="002B0869"/>
    <w:rsid w:val="00456DBC"/>
    <w:rsid w:val="004670D7"/>
    <w:rsid w:val="004F15E1"/>
    <w:rsid w:val="004F1D00"/>
    <w:rsid w:val="00531830"/>
    <w:rsid w:val="005A484B"/>
    <w:rsid w:val="00607FF5"/>
    <w:rsid w:val="00610718"/>
    <w:rsid w:val="006F156D"/>
    <w:rsid w:val="006F6BC9"/>
    <w:rsid w:val="00710F7A"/>
    <w:rsid w:val="00731DB6"/>
    <w:rsid w:val="0076159E"/>
    <w:rsid w:val="00777B00"/>
    <w:rsid w:val="007E0CDA"/>
    <w:rsid w:val="007F5287"/>
    <w:rsid w:val="0080288C"/>
    <w:rsid w:val="008214A5"/>
    <w:rsid w:val="008325AE"/>
    <w:rsid w:val="008B3A68"/>
    <w:rsid w:val="00903240"/>
    <w:rsid w:val="009036CF"/>
    <w:rsid w:val="009E5CBF"/>
    <w:rsid w:val="00A1798F"/>
    <w:rsid w:val="00A33C6C"/>
    <w:rsid w:val="00A5689D"/>
    <w:rsid w:val="00A73A43"/>
    <w:rsid w:val="00A82799"/>
    <w:rsid w:val="00AC62AB"/>
    <w:rsid w:val="00AD6DAC"/>
    <w:rsid w:val="00B030B2"/>
    <w:rsid w:val="00B41714"/>
    <w:rsid w:val="00B67DEC"/>
    <w:rsid w:val="00BA27EF"/>
    <w:rsid w:val="00BE4710"/>
    <w:rsid w:val="00C53B81"/>
    <w:rsid w:val="00C54522"/>
    <w:rsid w:val="00C74115"/>
    <w:rsid w:val="00CF1839"/>
    <w:rsid w:val="00DA25C0"/>
    <w:rsid w:val="00DC3A7B"/>
    <w:rsid w:val="00E964CD"/>
    <w:rsid w:val="00EF338D"/>
    <w:rsid w:val="00EF4517"/>
    <w:rsid w:val="00EF6BBB"/>
    <w:rsid w:val="00F05482"/>
    <w:rsid w:val="00F75737"/>
    <w:rsid w:val="00F80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8CB29"/>
  <w15:docId w15:val="{14EA81C7-86EE-413A-8FC8-5C247902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999"/>
    <w:pPr>
      <w:spacing w:before="240" w:after="240"/>
    </w:pPr>
    <w:rPr>
      <w:rFonts w:ascii="Calibri" w:eastAsia="Calibri" w:hAnsi="Calibri" w:cs="Calibri"/>
      <w:sz w:val="22"/>
      <w:szCs w:val="22"/>
    </w:rPr>
  </w:style>
  <w:style w:type="paragraph" w:styleId="Heading1">
    <w:name w:val="heading 1"/>
    <w:basedOn w:val="Normal"/>
    <w:next w:val="Normal"/>
    <w:link w:val="Heading1Char"/>
    <w:uiPriority w:val="9"/>
    <w:qFormat/>
    <w:rsid w:val="00257999"/>
    <w:pPr>
      <w:keepNext/>
      <w:keepLines/>
      <w:outlineLvl w:val="0"/>
    </w:pPr>
    <w:rPr>
      <w:rFonts w:asciiTheme="majorHAnsi" w:eastAsia="Times New Roman" w:hAnsiTheme="majorHAnsi" w:cs="Times New Roman"/>
      <w:b/>
      <w:bCs/>
      <w:color w:val="000000" w:themeColor="text1"/>
      <w:kern w:val="36"/>
      <w:sz w:val="20"/>
      <w:szCs w:val="48"/>
    </w:rPr>
  </w:style>
  <w:style w:type="paragraph" w:styleId="Heading2">
    <w:name w:val="heading 2"/>
    <w:basedOn w:val="Normal"/>
    <w:next w:val="Normal"/>
    <w:link w:val="Heading2Char"/>
    <w:uiPriority w:val="9"/>
    <w:rsid w:val="00506D7A"/>
    <w:pPr>
      <w:keepNext/>
      <w:keepLines/>
      <w:numPr>
        <w:ilvl w:val="1"/>
        <w:numId w:val="3"/>
      </w:numPr>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rsid w:val="00506D7A"/>
    <w:pPr>
      <w:keepNext/>
      <w:keepLines/>
      <w:numPr>
        <w:ilvl w:val="2"/>
        <w:numId w:val="3"/>
      </w:numPr>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rsid w:val="00506D7A"/>
    <w:pPr>
      <w:keepNext/>
      <w:keepLines/>
      <w:numPr>
        <w:ilvl w:val="3"/>
        <w:numId w:val="3"/>
      </w:numPr>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rsid w:val="00506D7A"/>
    <w:pPr>
      <w:keepNext/>
      <w:keepLines/>
      <w:numPr>
        <w:ilvl w:val="4"/>
        <w:numId w:val="3"/>
      </w:numPr>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rsid w:val="00506D7A"/>
    <w:pPr>
      <w:keepNext/>
      <w:keepLines/>
      <w:numPr>
        <w:ilvl w:val="5"/>
        <w:numId w:val="3"/>
      </w:numPr>
      <w:spacing w:before="40"/>
      <w:outlineLvl w:val="5"/>
    </w:pPr>
    <w:rPr>
      <w:rFonts w:ascii="Times New Roman" w:eastAsia="Times New Roman" w:hAnsi="Times New Roman" w:cs="Times New Roman"/>
      <w:b/>
      <w:bCs/>
      <w:color w:val="1F3763"/>
      <w:sz w:val="16"/>
      <w:szCs w:val="16"/>
    </w:rPr>
  </w:style>
  <w:style w:type="paragraph" w:styleId="Heading7">
    <w:name w:val="heading 7"/>
    <w:basedOn w:val="Normal"/>
    <w:next w:val="Normal"/>
    <w:link w:val="Heading7Char"/>
    <w:uiPriority w:val="9"/>
    <w:semiHidden/>
    <w:unhideWhenUsed/>
    <w:rsid w:val="00DC3A7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3A7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A7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999"/>
    <w:rPr>
      <w:rFonts w:asciiTheme="majorHAnsi" w:hAnsiTheme="majorHAnsi"/>
      <w:b/>
      <w:bCs/>
      <w:color w:val="000000" w:themeColor="text1"/>
      <w:kern w:val="36"/>
      <w:szCs w:val="48"/>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unhideWhenUsed/>
    <w:rsid w:val="004F1D00"/>
    <w:rPr>
      <w:sz w:val="16"/>
      <w:szCs w:val="16"/>
    </w:rPr>
  </w:style>
  <w:style w:type="paragraph" w:styleId="CommentText">
    <w:name w:val="annotation text"/>
    <w:basedOn w:val="Normal"/>
    <w:link w:val="CommentTextChar"/>
    <w:uiPriority w:val="99"/>
    <w:unhideWhenUsed/>
    <w:rsid w:val="004F1D00"/>
    <w:rPr>
      <w:sz w:val="20"/>
      <w:szCs w:val="20"/>
    </w:rPr>
  </w:style>
  <w:style w:type="character" w:customStyle="1" w:styleId="CommentTextChar">
    <w:name w:val="Comment Text Char"/>
    <w:basedOn w:val="DefaultParagraphFont"/>
    <w:link w:val="CommentText"/>
    <w:uiPriority w:val="99"/>
    <w:rsid w:val="004F1D00"/>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4F1D00"/>
    <w:rPr>
      <w:b/>
      <w:bCs/>
    </w:rPr>
  </w:style>
  <w:style w:type="character" w:customStyle="1" w:styleId="CommentSubjectChar">
    <w:name w:val="Comment Subject Char"/>
    <w:basedOn w:val="CommentTextChar"/>
    <w:link w:val="CommentSubject"/>
    <w:uiPriority w:val="99"/>
    <w:semiHidden/>
    <w:rsid w:val="004F1D00"/>
    <w:rPr>
      <w:rFonts w:ascii="Calibri" w:eastAsia="Calibri" w:hAnsi="Calibri" w:cs="Calibri"/>
      <w:b/>
      <w:bCs/>
    </w:rPr>
  </w:style>
  <w:style w:type="paragraph" w:styleId="Header">
    <w:name w:val="header"/>
    <w:basedOn w:val="Normal"/>
    <w:link w:val="HeaderChar"/>
    <w:uiPriority w:val="99"/>
    <w:unhideWhenUsed/>
    <w:rsid w:val="00C54522"/>
    <w:pPr>
      <w:tabs>
        <w:tab w:val="center" w:pos="4680"/>
        <w:tab w:val="right" w:pos="9360"/>
      </w:tabs>
    </w:pPr>
  </w:style>
  <w:style w:type="character" w:customStyle="1" w:styleId="HeaderChar">
    <w:name w:val="Header Char"/>
    <w:basedOn w:val="DefaultParagraphFont"/>
    <w:link w:val="Header"/>
    <w:uiPriority w:val="99"/>
    <w:rsid w:val="00C54522"/>
    <w:rPr>
      <w:rFonts w:ascii="Calibri" w:eastAsia="Calibri" w:hAnsi="Calibri" w:cs="Calibri"/>
      <w:sz w:val="22"/>
      <w:szCs w:val="22"/>
    </w:rPr>
  </w:style>
  <w:style w:type="paragraph" w:styleId="Footer">
    <w:name w:val="footer"/>
    <w:basedOn w:val="Normal"/>
    <w:link w:val="FooterChar"/>
    <w:uiPriority w:val="99"/>
    <w:unhideWhenUsed/>
    <w:qFormat/>
    <w:rsid w:val="00257999"/>
    <w:pPr>
      <w:tabs>
        <w:tab w:val="center" w:pos="4680"/>
        <w:tab w:val="right" w:pos="9360"/>
      </w:tabs>
    </w:pPr>
    <w:rPr>
      <w:rFonts w:ascii="Arial" w:hAnsi="Arial"/>
      <w:b/>
      <w:color w:val="000000" w:themeColor="text1"/>
      <w:sz w:val="24"/>
    </w:rPr>
  </w:style>
  <w:style w:type="character" w:customStyle="1" w:styleId="FooterChar">
    <w:name w:val="Footer Char"/>
    <w:basedOn w:val="DefaultParagraphFont"/>
    <w:link w:val="Footer"/>
    <w:uiPriority w:val="99"/>
    <w:rsid w:val="00257999"/>
    <w:rPr>
      <w:rFonts w:ascii="Arial" w:eastAsia="Calibri" w:hAnsi="Arial" w:cs="Calibri"/>
      <w:b/>
      <w:color w:val="000000" w:themeColor="text1"/>
      <w:sz w:val="24"/>
      <w:szCs w:val="22"/>
    </w:rPr>
  </w:style>
  <w:style w:type="paragraph" w:styleId="ListParagraph">
    <w:name w:val="List Paragraph"/>
    <w:basedOn w:val="Normal"/>
    <w:uiPriority w:val="34"/>
    <w:rsid w:val="00AD6DAC"/>
    <w:pPr>
      <w:ind w:left="720"/>
      <w:contextualSpacing/>
    </w:pPr>
  </w:style>
  <w:style w:type="character" w:customStyle="1" w:styleId="Heading7Char">
    <w:name w:val="Heading 7 Char"/>
    <w:basedOn w:val="DefaultParagraphFont"/>
    <w:link w:val="Heading7"/>
    <w:uiPriority w:val="9"/>
    <w:semiHidden/>
    <w:rsid w:val="00DC3A7B"/>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DC3A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3A7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265EF8"/>
    <w:rPr>
      <w:sz w:val="20"/>
      <w:szCs w:val="20"/>
    </w:rPr>
  </w:style>
  <w:style w:type="character" w:customStyle="1" w:styleId="FootnoteTextChar">
    <w:name w:val="Footnote Text Char"/>
    <w:basedOn w:val="DefaultParagraphFont"/>
    <w:link w:val="FootnoteText"/>
    <w:uiPriority w:val="99"/>
    <w:semiHidden/>
    <w:rsid w:val="00265EF8"/>
    <w:rPr>
      <w:rFonts w:ascii="Calibri" w:eastAsia="Calibri" w:hAnsi="Calibri" w:cs="Calibri"/>
    </w:rPr>
  </w:style>
  <w:style w:type="character" w:styleId="FootnoteReference">
    <w:name w:val="footnote reference"/>
    <w:basedOn w:val="DefaultParagraphFont"/>
    <w:uiPriority w:val="99"/>
    <w:semiHidden/>
    <w:unhideWhenUsed/>
    <w:rsid w:val="00265EF8"/>
    <w:rPr>
      <w:vertAlign w:val="superscript"/>
    </w:rPr>
  </w:style>
  <w:style w:type="paragraph" w:customStyle="1" w:styleId="FooterText">
    <w:name w:val="Footer Text"/>
    <w:basedOn w:val="FootnoteText"/>
    <w:link w:val="FooterTextChar"/>
    <w:qFormat/>
    <w:rsid w:val="00456DBC"/>
    <w:pPr>
      <w:spacing w:before="120" w:after="120"/>
    </w:pPr>
  </w:style>
  <w:style w:type="character" w:customStyle="1" w:styleId="FooterTextChar">
    <w:name w:val="Footer Text Char"/>
    <w:basedOn w:val="FootnoteTextChar"/>
    <w:link w:val="FooterText"/>
    <w:rsid w:val="00456DB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7">
      <a:majorFont>
        <a:latin typeface="Calibri"/>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6b9c53-bd0d-4f42-a6c8-cb40549b622a" xsi:nil="true"/>
    <lcf76f155ced4ddcb4097134ff3c332f xmlns="594b38c5-5d87-4706-a46f-f842ec3313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EB4B26-4537-4C3B-9AF0-CE30E557623D}">
  <ds:schemaRefs>
    <ds:schemaRef ds:uri="http://schemas.openxmlformats.org/officeDocument/2006/bibliography"/>
  </ds:schemaRefs>
</ds:datastoreItem>
</file>

<file path=customXml/itemProps2.xml><?xml version="1.0" encoding="utf-8"?>
<ds:datastoreItem xmlns:ds="http://schemas.openxmlformats.org/officeDocument/2006/customXml" ds:itemID="{3FCEDBC2-102F-40F9-8DB5-A6F2F9095BA2}"/>
</file>

<file path=customXml/itemProps3.xml><?xml version="1.0" encoding="utf-8"?>
<ds:datastoreItem xmlns:ds="http://schemas.openxmlformats.org/officeDocument/2006/customXml" ds:itemID="{F78243E3-E635-44DE-BFB8-21E28E6F8CC0}"/>
</file>

<file path=customXml/itemProps4.xml><?xml version="1.0" encoding="utf-8"?>
<ds:datastoreItem xmlns:ds="http://schemas.openxmlformats.org/officeDocument/2006/customXml" ds:itemID="{C9FA4F6D-6824-413E-9484-37DCA52346AB}"/>
</file>

<file path=docProps/app.xml><?xml version="1.0" encoding="utf-8"?>
<Properties xmlns="http://schemas.openxmlformats.org/officeDocument/2006/extended-properties" xmlns:vt="http://schemas.openxmlformats.org/officeDocument/2006/docPropsVTypes">
  <Template>Normal.dotm</Template>
  <TotalTime>18</TotalTime>
  <Pages>2</Pages>
  <Words>575</Words>
  <Characters>2864</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5</cp:revision>
  <dcterms:created xsi:type="dcterms:W3CDTF">2026-02-09T20:41:00Z</dcterms:created>
  <dcterms:modified xsi:type="dcterms:W3CDTF">2026-03-04T16:34:00Z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ies>
</file>