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20010" w14:textId="7AF45572" w:rsidR="008732BD" w:rsidRPr="00BD4F82" w:rsidRDefault="00BD4F82" w:rsidP="008732BD">
      <w:pPr>
        <w:spacing w:before="120" w:after="120"/>
        <w:jc w:val="both"/>
        <w:rPr>
          <w:rFonts w:ascii="Aptos" w:eastAsia="Swis721 Lt BT" w:hAnsi="Aptos" w:cs="Arial"/>
          <w:b/>
          <w:bCs/>
          <w:sz w:val="24"/>
          <w:szCs w:val="24"/>
        </w:rPr>
      </w:pPr>
      <w:bookmarkStart w:id="0" w:name="_Hlk221521426"/>
      <w:r w:rsidRPr="00BD4F82">
        <w:rPr>
          <w:rFonts w:ascii="Aptos" w:eastAsia="Swis721 Lt BT" w:hAnsi="Aptos" w:cs="Arial"/>
          <w:b/>
          <w:bCs/>
          <w:sz w:val="24"/>
          <w:szCs w:val="24"/>
        </w:rPr>
        <w:t xml:space="preserve">The language below in black is carried forward from prior templates.  </w:t>
      </w:r>
      <w:r w:rsidR="008732BD" w:rsidRPr="00BD4F82">
        <w:rPr>
          <w:rFonts w:ascii="Aptos" w:eastAsia="Swis721 Lt BT" w:hAnsi="Aptos" w:cs="Arial"/>
          <w:b/>
          <w:bCs/>
          <w:sz w:val="24"/>
          <w:szCs w:val="24"/>
        </w:rPr>
        <w:t xml:space="preserve">The language in </w:t>
      </w:r>
      <w:r w:rsidR="008732BD" w:rsidRPr="00BD4F82">
        <w:rPr>
          <w:rFonts w:ascii="Aptos" w:eastAsia="Swis721 Lt BT" w:hAnsi="Aptos" w:cs="Arial"/>
          <w:b/>
          <w:bCs/>
          <w:color w:val="C00000"/>
          <w:sz w:val="24"/>
          <w:szCs w:val="24"/>
        </w:rPr>
        <w:t>red</w:t>
      </w:r>
      <w:r w:rsidR="008732BD" w:rsidRPr="00BD4F82">
        <w:rPr>
          <w:rFonts w:ascii="Aptos" w:eastAsia="Swis721 Lt BT" w:hAnsi="Aptos" w:cs="Arial"/>
          <w:b/>
          <w:bCs/>
          <w:color w:val="FF0000"/>
          <w:sz w:val="24"/>
          <w:szCs w:val="24"/>
        </w:rPr>
        <w:t xml:space="preserve"> </w:t>
      </w:r>
      <w:r w:rsidR="008732BD" w:rsidRPr="00BD4F82">
        <w:rPr>
          <w:rFonts w:ascii="Aptos" w:eastAsia="Swis721 Lt BT" w:hAnsi="Aptos" w:cs="Arial"/>
          <w:b/>
          <w:bCs/>
          <w:sz w:val="24"/>
          <w:szCs w:val="24"/>
        </w:rPr>
        <w:t xml:space="preserve">is a change and must be revised in the zoning ordinance.  </w:t>
      </w:r>
      <w:r w:rsidR="008732BD" w:rsidRPr="00BD4F82">
        <w:rPr>
          <w:rFonts w:ascii="Aptos" w:eastAsia="Swis721 Lt BT" w:hAnsi="Aptos" w:cs="Arial"/>
          <w:b/>
          <w:bCs/>
          <w:color w:val="C00000"/>
          <w:sz w:val="24"/>
          <w:szCs w:val="24"/>
          <w:u w:val="single"/>
        </w:rPr>
        <w:t>Red underlining</w:t>
      </w:r>
      <w:r w:rsidR="008732BD" w:rsidRPr="00BD4F82">
        <w:rPr>
          <w:rFonts w:ascii="Aptos" w:eastAsia="Swis721 Lt BT" w:hAnsi="Aptos" w:cs="Arial"/>
          <w:b/>
          <w:bCs/>
          <w:color w:val="C00000"/>
          <w:sz w:val="24"/>
          <w:szCs w:val="24"/>
        </w:rPr>
        <w:t xml:space="preserve"> </w:t>
      </w:r>
      <w:r w:rsidR="008732BD" w:rsidRPr="00BD4F82">
        <w:rPr>
          <w:rFonts w:ascii="Aptos" w:eastAsia="Swis721 Lt BT" w:hAnsi="Aptos" w:cs="Arial"/>
          <w:b/>
          <w:bCs/>
          <w:sz w:val="24"/>
          <w:szCs w:val="24"/>
        </w:rPr>
        <w:t xml:space="preserve">represents text for insertion and </w:t>
      </w:r>
      <w:r w:rsidR="008732BD" w:rsidRPr="00BD4F82">
        <w:rPr>
          <w:rFonts w:ascii="Aptos" w:eastAsia="Swis721 Lt BT" w:hAnsi="Aptos" w:cs="Arial"/>
          <w:b/>
          <w:bCs/>
          <w:strike/>
          <w:color w:val="C00000"/>
          <w:sz w:val="24"/>
          <w:szCs w:val="24"/>
        </w:rPr>
        <w:t>red strikethrough</w:t>
      </w:r>
      <w:r w:rsidR="008732BD" w:rsidRPr="00BD4F82">
        <w:rPr>
          <w:rFonts w:ascii="Aptos" w:eastAsia="Swis721 Lt BT" w:hAnsi="Aptos" w:cs="Arial"/>
          <w:b/>
          <w:bCs/>
          <w:color w:val="C00000"/>
          <w:sz w:val="24"/>
          <w:szCs w:val="24"/>
        </w:rPr>
        <w:t xml:space="preserve"> </w:t>
      </w:r>
      <w:r w:rsidR="008732BD" w:rsidRPr="00BD4F82">
        <w:rPr>
          <w:rFonts w:ascii="Aptos" w:eastAsia="Swis721 Lt BT" w:hAnsi="Aptos" w:cs="Arial"/>
          <w:b/>
          <w:bCs/>
          <w:sz w:val="24"/>
          <w:szCs w:val="24"/>
        </w:rPr>
        <w:t>represents text for deletion.</w:t>
      </w:r>
    </w:p>
    <w:p w14:paraId="01193E9B" w14:textId="77777777" w:rsidR="008732BD" w:rsidRPr="00BD4F82" w:rsidRDefault="008732BD" w:rsidP="008732BD">
      <w:pPr>
        <w:spacing w:before="120" w:after="120"/>
        <w:jc w:val="both"/>
        <w:rPr>
          <w:rFonts w:ascii="Aptos" w:eastAsia="Swis721 Lt BT" w:hAnsi="Aptos" w:cs="Arial"/>
          <w:b/>
          <w:bCs/>
          <w:sz w:val="24"/>
          <w:szCs w:val="24"/>
        </w:rPr>
      </w:pPr>
      <w:r w:rsidRPr="00BD4F82">
        <w:rPr>
          <w:rFonts w:ascii="Aptos" w:eastAsia="Swis721 Lt BT" w:hAnsi="Aptos" w:cs="Arial"/>
          <w:b/>
          <w:bCs/>
          <w:color w:val="0070C0"/>
          <w:sz w:val="24"/>
          <w:szCs w:val="24"/>
        </w:rPr>
        <w:t>Blue</w:t>
      </w:r>
      <w:r w:rsidRPr="00BD4F82">
        <w:rPr>
          <w:rFonts w:ascii="Aptos" w:eastAsia="Swis721 Lt BT" w:hAnsi="Aptos" w:cs="Arial"/>
          <w:b/>
          <w:bCs/>
          <w:sz w:val="24"/>
          <w:szCs w:val="24"/>
        </w:rPr>
        <w:t xml:space="preserve"> text represents recommended language for clarification or best practices.</w:t>
      </w:r>
    </w:p>
    <w:p w14:paraId="40837D27" w14:textId="77777777" w:rsidR="008732BD" w:rsidRPr="00BD4F82" w:rsidRDefault="008732BD" w:rsidP="008732BD">
      <w:pPr>
        <w:spacing w:before="120" w:after="120"/>
        <w:jc w:val="both"/>
        <w:rPr>
          <w:rFonts w:ascii="Aptos" w:eastAsia="Swis721 Lt BT" w:hAnsi="Aptos" w:cs="Arial"/>
          <w:b/>
          <w:bCs/>
          <w:sz w:val="24"/>
          <w:szCs w:val="24"/>
        </w:rPr>
      </w:pPr>
      <w:r w:rsidRPr="00BD4F82">
        <w:rPr>
          <w:rFonts w:ascii="Aptos" w:eastAsia="Swis721 Lt BT" w:hAnsi="Aptos" w:cs="Arial"/>
          <w:b/>
          <w:bCs/>
          <w:sz w:val="24"/>
          <w:szCs w:val="24"/>
        </w:rPr>
        <w:t xml:space="preserve">[Bracketed text] represents text where a municipality has an option or where terminology might be slightly different from place to place (such as planning board or planning commission). </w:t>
      </w:r>
    </w:p>
    <w:bookmarkEnd w:id="0"/>
    <w:p w14:paraId="1716323D" w14:textId="1C6BC7D2" w:rsidR="008732BD" w:rsidRPr="00BD4F82" w:rsidRDefault="008732BD" w:rsidP="008732BD">
      <w:pPr>
        <w:spacing w:before="120" w:after="120"/>
        <w:jc w:val="both"/>
        <w:rPr>
          <w:rFonts w:ascii="Aptos" w:eastAsia="Swis721 Lt BT" w:hAnsi="Aptos" w:cs="Swis721 Lt BT"/>
        </w:rPr>
      </w:pPr>
      <w:r w:rsidRPr="00BD4F82">
        <w:rPr>
          <w:rFonts w:ascii="Aptos" w:eastAsia="Swis721 Lt BT" w:hAnsi="Aptos" w:cs="Swis721 Lt BT"/>
          <w:noProof/>
        </w:rPr>
        <mc:AlternateContent>
          <mc:Choice Requires="wps">
            <w:drawing>
              <wp:anchor distT="0" distB="0" distL="114300" distR="114300" simplePos="0" relativeHeight="251659264" behindDoc="0" locked="0" layoutInCell="1" allowOverlap="1" wp14:anchorId="31DE9A7D" wp14:editId="43D97C16">
                <wp:simplePos x="0" y="0"/>
                <wp:positionH relativeFrom="column">
                  <wp:posOffset>9524</wp:posOffset>
                </wp:positionH>
                <wp:positionV relativeFrom="paragraph">
                  <wp:posOffset>93980</wp:posOffset>
                </wp:positionV>
                <wp:extent cx="5934075" cy="0"/>
                <wp:effectExtent l="0" t="0" r="0" b="0"/>
                <wp:wrapNone/>
                <wp:docPr id="597048477" name="Straight Connector 1"/>
                <wp:cNvGraphicFramePr/>
                <a:graphic xmlns:a="http://schemas.openxmlformats.org/drawingml/2006/main">
                  <a:graphicData uri="http://schemas.microsoft.com/office/word/2010/wordprocessingShape">
                    <wps:wsp>
                      <wps:cNvCnPr/>
                      <wps:spPr>
                        <a:xfrm>
                          <a:off x="0" y="0"/>
                          <a:ext cx="593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60B22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" strokecolor="black [3040]"/>
            </w:pict>
          </mc:Fallback>
        </mc:AlternateContent>
      </w:r>
    </w:p>
    <w:p w14:paraId="3EE1FC01" w14:textId="2504C04D" w:rsidR="00400E59" w:rsidRPr="00BD4F82" w:rsidRDefault="00B33958" w:rsidP="00BD4F82">
      <w:pPr>
        <w:tabs>
          <w:tab w:val="left" w:pos="446"/>
        </w:tabs>
        <w:rPr>
          <w:rFonts w:ascii="Aptos" w:hAnsi="Aptos" w:cs="Arial"/>
        </w:rPr>
      </w:pPr>
      <w:bookmarkStart w:id="1" w:name="_Hlk158712998"/>
      <w:r w:rsidRPr="00BD4F82">
        <w:rPr>
          <w:rFonts w:ascii="Aptos" w:eastAsia="Swis721 Lt BT" w:hAnsi="Aptos" w:cs="Arial"/>
        </w:rPr>
        <w:t xml:space="preserve">Adaptive Reuse Projects. </w:t>
      </w:r>
    </w:p>
    <w:p w14:paraId="7E8D9737" w14:textId="3B686CB2" w:rsidR="00400E59" w:rsidRPr="00BD4F82" w:rsidRDefault="00170918" w:rsidP="00BD4F82">
      <w:pPr>
        <w:numPr>
          <w:ilvl w:val="0"/>
          <w:numId w:val="21"/>
        </w:numPr>
        <w:pBdr>
          <w:left w:val="none" w:sz="0" w:space="5" w:color="auto"/>
        </w:pBdr>
        <w:jc w:val="both"/>
        <w:rPr>
          <w:rFonts w:ascii="Aptos" w:eastAsia="Swis721 Lt BT" w:hAnsi="Aptos" w:cs="Arial"/>
        </w:rPr>
      </w:pPr>
      <w:r w:rsidRPr="00BD4F82">
        <w:rPr>
          <w:rFonts w:ascii="Aptos" w:eastAsia="Swis721 Lt BT" w:hAnsi="Aptos" w:cs="Arial"/>
        </w:rPr>
        <w:t>Permitted Use.</w:t>
      </w:r>
      <w:r w:rsidRPr="00BD4F82">
        <w:rPr>
          <w:rFonts w:ascii="Aptos" w:eastAsia="Swis721 Lt BT" w:hAnsi="Aptos" w:cs="Arial"/>
          <w:i/>
          <w:iCs/>
        </w:rPr>
        <w:t xml:space="preserve"> </w:t>
      </w:r>
      <w:r w:rsidRPr="00BD4F82">
        <w:rPr>
          <w:rFonts w:ascii="Aptos" w:eastAsia="Swis721 Lt BT" w:hAnsi="Aptos" w:cs="Arial"/>
        </w:rPr>
        <w:t xml:space="preserve">Adaptive reuse for the conversion of any commercial building, including offices, schools, religious facilities, medical buildings, </w:t>
      </w:r>
      <w:r w:rsidR="0020540C" w:rsidRPr="00BD4F82">
        <w:rPr>
          <w:rFonts w:ascii="Aptos" w:eastAsia="Swis721 Lt BT" w:hAnsi="Aptos" w:cs="Arial"/>
          <w:color w:val="C00000"/>
          <w:u w:val="single"/>
        </w:rPr>
        <w:t xml:space="preserve">mills, </w:t>
      </w:r>
      <w:r w:rsidRPr="00BD4F82">
        <w:rPr>
          <w:rFonts w:ascii="Aptos" w:eastAsia="Swis721 Lt BT" w:hAnsi="Aptos" w:cs="Arial"/>
        </w:rPr>
        <w:t>and malls into residential units or mixed-use developments</w:t>
      </w:r>
      <w:r w:rsidR="005B0E6A" w:rsidRPr="00BD4F82">
        <w:rPr>
          <w:rFonts w:ascii="Aptos" w:eastAsia="Swis721 Lt BT" w:hAnsi="Aptos" w:cs="Arial"/>
        </w:rPr>
        <w:t xml:space="preserve">, </w:t>
      </w:r>
      <w:r w:rsidR="005B0E6A" w:rsidRPr="00BD4F82">
        <w:rPr>
          <w:rFonts w:ascii="Aptos" w:eastAsia="Swis721 Lt BT" w:hAnsi="Aptos" w:cs="Arial"/>
          <w:color w:val="C00000"/>
          <w:u w:val="single"/>
        </w:rPr>
        <w:t xml:space="preserve">which includes the development of at least fifty percent (50%) of the existing gross floor area into residential units, </w:t>
      </w:r>
      <w:r w:rsidRPr="00BD4F82">
        <w:rPr>
          <w:rFonts w:ascii="Aptos" w:eastAsia="Swis721 Lt BT" w:hAnsi="Aptos" w:cs="Arial"/>
        </w:rPr>
        <w:t xml:space="preserve">is a permitted use </w:t>
      </w:r>
      <w:r w:rsidRPr="00BD4F82">
        <w:rPr>
          <w:rFonts w:ascii="Aptos" w:eastAsia="Swis721 Lt BT" w:hAnsi="Aptos" w:cs="Arial"/>
          <w:strike/>
          <w:color w:val="C00000"/>
        </w:rPr>
        <w:t>under the criteria described below under Eligibility</w:t>
      </w:r>
      <w:r w:rsidR="005B0E6A" w:rsidRPr="00BD4F82">
        <w:rPr>
          <w:rFonts w:ascii="Aptos" w:eastAsia="Swis721 Lt BT" w:hAnsi="Aptos" w:cs="Arial"/>
          <w:color w:val="C00000"/>
        </w:rPr>
        <w:t>.</w:t>
      </w:r>
      <w:r w:rsidR="005C339B" w:rsidRPr="00BD4F82">
        <w:rPr>
          <w:rFonts w:ascii="Aptos" w:eastAsia="Swis721 Lt BT" w:hAnsi="Aptos" w:cs="Arial"/>
          <w:strike/>
          <w:color w:val="C00000"/>
        </w:rPr>
        <w:t xml:space="preserve"> </w:t>
      </w:r>
    </w:p>
    <w:p w14:paraId="6FE37D1C" w14:textId="451CC89E" w:rsidR="0020540C" w:rsidRPr="00BD4F82" w:rsidRDefault="00170918" w:rsidP="00BD4F82">
      <w:pPr>
        <w:numPr>
          <w:ilvl w:val="0"/>
          <w:numId w:val="21"/>
        </w:numPr>
        <w:pBdr>
          <w:left w:val="none" w:sz="0" w:space="5" w:color="auto"/>
        </w:pBdr>
        <w:jc w:val="both"/>
        <w:rPr>
          <w:rFonts w:ascii="Aptos" w:eastAsia="Swis721 Lt BT" w:hAnsi="Aptos" w:cs="Arial"/>
          <w:strike/>
          <w:color w:val="C00000"/>
        </w:rPr>
      </w:pPr>
      <w:r w:rsidRPr="00BD4F82">
        <w:rPr>
          <w:rFonts w:ascii="Aptos" w:eastAsia="Swis721 Lt BT" w:hAnsi="Aptos" w:cs="Arial"/>
          <w:color w:val="C00000"/>
          <w:u w:val="single"/>
        </w:rPr>
        <w:t xml:space="preserve">Prohibitions. </w:t>
      </w:r>
      <w:r w:rsidR="00FD4492" w:rsidRPr="00BD4F82">
        <w:rPr>
          <w:rFonts w:ascii="Aptos" w:eastAsia="Swis721 Lt BT" w:hAnsi="Aptos" w:cs="Arial"/>
          <w:color w:val="C00000"/>
          <w:u w:val="single"/>
        </w:rPr>
        <w:t>Adaptive</w:t>
      </w:r>
      <w:r w:rsidRPr="00BD4F82">
        <w:rPr>
          <w:rFonts w:ascii="Aptos" w:eastAsia="Swis721 Lt BT" w:hAnsi="Aptos" w:cs="Arial"/>
          <w:color w:val="C00000"/>
          <w:u w:val="single"/>
        </w:rPr>
        <w:t xml:space="preserve"> reuse unde</w:t>
      </w:r>
      <w:r w:rsidR="007F48DE" w:rsidRPr="00BD4F82">
        <w:rPr>
          <w:rFonts w:ascii="Aptos" w:eastAsia="Swis721 Lt BT" w:hAnsi="Aptos" w:cs="Arial"/>
          <w:color w:val="C00000"/>
          <w:u w:val="single"/>
        </w:rPr>
        <w:t>r</w:t>
      </w:r>
      <w:r w:rsidRPr="00BD4F82">
        <w:rPr>
          <w:rFonts w:ascii="Aptos" w:eastAsia="Swis721 Lt BT" w:hAnsi="Aptos" w:cs="Arial"/>
          <w:color w:val="C00000"/>
          <w:u w:val="single"/>
        </w:rPr>
        <w:t xml:space="preserve"> this section shall not be allowed where:</w:t>
      </w:r>
    </w:p>
    <w:p w14:paraId="765D02CE" w14:textId="04459CDF" w:rsidR="005C339B" w:rsidRPr="00BD4F82" w:rsidRDefault="00170918" w:rsidP="00BD4F82">
      <w:pPr>
        <w:pStyle w:val="ListParagraph"/>
        <w:numPr>
          <w:ilvl w:val="1"/>
          <w:numId w:val="21"/>
        </w:numPr>
        <w:pBdr>
          <w:left w:val="none" w:sz="0" w:space="5" w:color="auto"/>
        </w:pBdr>
        <w:contextualSpacing w:val="0"/>
        <w:jc w:val="both"/>
        <w:rPr>
          <w:rFonts w:ascii="Aptos" w:eastAsia="Swis721 Lt BT" w:hAnsi="Aptos" w:cs="Arial"/>
          <w:color w:val="C00000"/>
          <w:u w:val="single"/>
        </w:rPr>
      </w:pPr>
      <w:r w:rsidRPr="00BD4F82">
        <w:rPr>
          <w:rFonts w:ascii="Aptos" w:eastAsia="Swis721 Lt BT" w:hAnsi="Aptos" w:cs="Arial"/>
          <w:color w:val="C00000"/>
          <w:u w:val="single"/>
        </w:rPr>
        <w:t xml:space="preserve">Residential use is prohibited by environmental land use restrictions recorded on the property by the </w:t>
      </w:r>
      <w:r w:rsidR="00AA3E21" w:rsidRPr="00BD4F82">
        <w:rPr>
          <w:rFonts w:ascii="Aptos" w:eastAsia="Swis721 Lt BT" w:hAnsi="Aptos" w:cs="Arial"/>
          <w:color w:val="C00000"/>
          <w:u w:val="single"/>
        </w:rPr>
        <w:t xml:space="preserve">State </w:t>
      </w:r>
      <w:r w:rsidRPr="00BD4F82">
        <w:rPr>
          <w:rFonts w:ascii="Aptos" w:eastAsia="Swis721 Lt BT" w:hAnsi="Aptos" w:cs="Arial"/>
          <w:color w:val="C00000"/>
          <w:u w:val="single"/>
        </w:rPr>
        <w:t xml:space="preserve">of Rhode Island </w:t>
      </w:r>
      <w:r w:rsidR="00AA3E21" w:rsidRPr="00BD4F82">
        <w:rPr>
          <w:rFonts w:ascii="Aptos" w:eastAsia="Swis721 Lt BT" w:hAnsi="Aptos" w:cs="Arial"/>
          <w:color w:val="C00000"/>
          <w:u w:val="single"/>
        </w:rPr>
        <w:t xml:space="preserve">Department </w:t>
      </w:r>
      <w:r w:rsidRPr="00BD4F82">
        <w:rPr>
          <w:rFonts w:ascii="Aptos" w:eastAsia="Swis721 Lt BT" w:hAnsi="Aptos" w:cs="Arial"/>
          <w:color w:val="C00000"/>
          <w:u w:val="single"/>
        </w:rPr>
        <w:t xml:space="preserve">of </w:t>
      </w:r>
      <w:r w:rsidR="00AA3E21" w:rsidRPr="00BD4F82">
        <w:rPr>
          <w:rFonts w:ascii="Aptos" w:eastAsia="Swis721 Lt BT" w:hAnsi="Aptos" w:cs="Arial"/>
          <w:color w:val="C00000"/>
          <w:u w:val="single"/>
        </w:rPr>
        <w:t>Environmental M</w:t>
      </w:r>
      <w:r w:rsidRPr="00BD4F82">
        <w:rPr>
          <w:rFonts w:ascii="Aptos" w:eastAsia="Swis721 Lt BT" w:hAnsi="Aptos" w:cs="Arial"/>
          <w:color w:val="C00000"/>
          <w:u w:val="single"/>
        </w:rPr>
        <w:t xml:space="preserve">anagement or the United States Environmental Protection Agency. </w:t>
      </w:r>
    </w:p>
    <w:p w14:paraId="1E634CC8" w14:textId="249E42FD" w:rsidR="005C339B" w:rsidRPr="00BD4F82" w:rsidRDefault="00170918" w:rsidP="00BD4F82">
      <w:pPr>
        <w:pStyle w:val="ListParagraph"/>
        <w:numPr>
          <w:ilvl w:val="1"/>
          <w:numId w:val="21"/>
        </w:numPr>
        <w:pBdr>
          <w:left w:val="none" w:sz="0" w:space="5" w:color="auto"/>
        </w:pBdr>
        <w:contextualSpacing w:val="0"/>
        <w:jc w:val="both"/>
        <w:rPr>
          <w:rFonts w:ascii="Aptos" w:eastAsia="Swis721 Lt BT" w:hAnsi="Aptos" w:cs="Arial"/>
          <w:color w:val="C00000"/>
          <w:u w:val="single"/>
        </w:rPr>
      </w:pPr>
      <w:r w:rsidRPr="00BD4F82">
        <w:rPr>
          <w:rFonts w:ascii="Aptos" w:eastAsia="Swis721 Lt BT" w:hAnsi="Aptos" w:cs="Arial"/>
          <w:color w:val="C00000"/>
          <w:u w:val="single"/>
        </w:rPr>
        <w:t xml:space="preserve">In any industrial or manufacturing zoning district, or a portion thereof, where residential use is prohibited for public health and safety reasons which are based on specific and detailed findings. </w:t>
      </w:r>
    </w:p>
    <w:p w14:paraId="054E9CF2" w14:textId="2C3B3721" w:rsidR="0020540C" w:rsidRPr="00BD4F82" w:rsidRDefault="00170918" w:rsidP="00BD4F82">
      <w:pPr>
        <w:pStyle w:val="ListParagraph"/>
        <w:numPr>
          <w:ilvl w:val="0"/>
          <w:numId w:val="21"/>
        </w:numPr>
        <w:pBdr>
          <w:left w:val="none" w:sz="0" w:space="5" w:color="auto"/>
        </w:pBdr>
        <w:contextualSpacing w:val="0"/>
        <w:jc w:val="both"/>
        <w:rPr>
          <w:rFonts w:ascii="Aptos" w:eastAsia="Swis721 Lt BT" w:hAnsi="Aptos" w:cs="Arial"/>
          <w:color w:val="C00000"/>
          <w:u w:val="single"/>
        </w:rPr>
      </w:pPr>
      <w:r w:rsidRPr="00BD4F82">
        <w:rPr>
          <w:rFonts w:ascii="Aptos" w:eastAsia="Swis721 Lt BT" w:hAnsi="Aptos" w:cs="Arial"/>
          <w:color w:val="C00000"/>
          <w:u w:val="single"/>
        </w:rPr>
        <w:t>In any building previously used for industrial or manufacturing use(s), which has not been vacant of an industrial use for less than one year prior to the submission of the permit or application for adaptive reuse.</w:t>
      </w:r>
    </w:p>
    <w:p w14:paraId="18EF058E" w14:textId="38C91FE0" w:rsidR="00400E59" w:rsidRPr="00BD4F82" w:rsidRDefault="005C339B" w:rsidP="00BD4F82">
      <w:pPr>
        <w:pStyle w:val="ListParagraph"/>
        <w:numPr>
          <w:ilvl w:val="0"/>
          <w:numId w:val="22"/>
        </w:numPr>
        <w:pBdr>
          <w:left w:val="none" w:sz="0" w:space="5" w:color="auto"/>
        </w:pBdr>
        <w:contextualSpacing w:val="0"/>
        <w:jc w:val="both"/>
        <w:rPr>
          <w:rFonts w:ascii="Aptos" w:eastAsia="Swis721 Lt BT" w:hAnsi="Aptos" w:cs="Arial"/>
          <w:strike/>
          <w:color w:val="C00000"/>
        </w:rPr>
      </w:pPr>
      <w:r w:rsidRPr="00BD4F82">
        <w:rPr>
          <w:rFonts w:ascii="Aptos" w:eastAsia="Swis721 Lt BT" w:hAnsi="Aptos" w:cs="Arial"/>
          <w:strike/>
          <w:color w:val="C00000"/>
        </w:rPr>
        <w:t xml:space="preserve">c.   </w:t>
      </w:r>
      <w:r w:rsidR="00170918" w:rsidRPr="00BD4F82">
        <w:rPr>
          <w:rFonts w:ascii="Aptos" w:eastAsia="Swis721 Lt BT" w:hAnsi="Aptos" w:cs="Arial"/>
          <w:strike/>
          <w:color w:val="C00000"/>
        </w:rPr>
        <w:t>Eligibility.</w:t>
      </w:r>
    </w:p>
    <w:p w14:paraId="226EC649" w14:textId="1C68A184" w:rsidR="00400E59" w:rsidRPr="00BD4F82" w:rsidRDefault="00170918" w:rsidP="00BD4F82">
      <w:pPr>
        <w:pStyle w:val="ListParagraph"/>
        <w:numPr>
          <w:ilvl w:val="1"/>
          <w:numId w:val="22"/>
        </w:numPr>
        <w:pBdr>
          <w:left w:val="none" w:sz="0" w:space="5" w:color="auto"/>
        </w:pBdr>
        <w:contextualSpacing w:val="0"/>
        <w:jc w:val="both"/>
        <w:rPr>
          <w:rFonts w:ascii="Aptos" w:eastAsia="Swis721 Lt BT" w:hAnsi="Aptos" w:cs="Arial"/>
          <w:strike/>
          <w:color w:val="C00000"/>
        </w:rPr>
      </w:pPr>
      <w:r w:rsidRPr="00BD4F82">
        <w:rPr>
          <w:rFonts w:ascii="Aptos" w:eastAsia="Swis721 Lt BT" w:hAnsi="Aptos" w:cs="Arial"/>
          <w:strike/>
          <w:color w:val="C00000"/>
        </w:rPr>
        <w:t xml:space="preserve">Adaptive reuse development must include </w:t>
      </w:r>
      <w:r w:rsidR="000E3E53" w:rsidRPr="00BD4F82">
        <w:rPr>
          <w:rFonts w:ascii="Aptos" w:eastAsia="Swis721 Lt BT" w:hAnsi="Aptos" w:cs="Arial"/>
          <w:strike/>
          <w:color w:val="C00000"/>
        </w:rPr>
        <w:t>at least 50%</w:t>
      </w:r>
      <w:r w:rsidRPr="00BD4F82">
        <w:rPr>
          <w:rFonts w:ascii="Aptos" w:eastAsia="Swis721 Lt BT" w:hAnsi="Aptos" w:cs="Arial"/>
          <w:strike/>
          <w:color w:val="C00000"/>
        </w:rPr>
        <w:t xml:space="preserve"> of existing gross floor area developed into residential units.</w:t>
      </w:r>
    </w:p>
    <w:p w14:paraId="0EB9AC99" w14:textId="2DBB4EB4" w:rsidR="00400E59" w:rsidRPr="00BD4F82" w:rsidRDefault="00170918" w:rsidP="00BD4F82">
      <w:pPr>
        <w:pStyle w:val="ListParagraph"/>
        <w:numPr>
          <w:ilvl w:val="1"/>
          <w:numId w:val="22"/>
        </w:numPr>
        <w:pBdr>
          <w:left w:val="none" w:sz="0" w:space="5" w:color="auto"/>
        </w:pBdr>
        <w:contextualSpacing w:val="0"/>
        <w:jc w:val="both"/>
        <w:rPr>
          <w:rFonts w:ascii="Aptos" w:eastAsia="Swis721 Lt BT" w:hAnsi="Aptos" w:cs="Arial"/>
          <w:strike/>
          <w:color w:val="C00000"/>
        </w:rPr>
      </w:pPr>
      <w:r w:rsidRPr="00BD4F82">
        <w:rPr>
          <w:rFonts w:ascii="Aptos" w:eastAsia="Swis721 Lt BT" w:hAnsi="Aptos" w:cs="Arial"/>
          <w:strike/>
          <w:color w:val="C00000"/>
        </w:rPr>
        <w:t>There are no environmental land use restrictions recorded on the property preventing the conversion to residential use by RIDEM or the US EPA.</w:t>
      </w:r>
    </w:p>
    <w:p w14:paraId="041F2767" w14:textId="77777777" w:rsidR="00400E59" w:rsidRPr="00BD4F82" w:rsidRDefault="00170918" w:rsidP="00BD4F82">
      <w:pPr>
        <w:numPr>
          <w:ilvl w:val="0"/>
          <w:numId w:val="22"/>
        </w:numPr>
        <w:pBdr>
          <w:left w:val="none" w:sz="0" w:space="6" w:color="auto"/>
        </w:pBdr>
        <w:jc w:val="both"/>
        <w:rPr>
          <w:rFonts w:ascii="Aptos" w:eastAsia="Swis721 Lt BT" w:hAnsi="Aptos" w:cs="Arial"/>
          <w:color w:val="C00000"/>
          <w:u w:val="single"/>
        </w:rPr>
      </w:pPr>
      <w:r w:rsidRPr="00BD4F82">
        <w:rPr>
          <w:rFonts w:ascii="Aptos" w:eastAsia="Swis721 Lt BT" w:hAnsi="Aptos" w:cs="Arial"/>
          <w:color w:val="C00000"/>
          <w:u w:val="single"/>
        </w:rPr>
        <w:t xml:space="preserve">Density calculations. </w:t>
      </w:r>
    </w:p>
    <w:p w14:paraId="7582509B" w14:textId="5D09659C" w:rsidR="00B22D9E" w:rsidRPr="00BD4F82" w:rsidRDefault="00170918" w:rsidP="00BD4F82">
      <w:pPr>
        <w:pStyle w:val="pf0"/>
        <w:numPr>
          <w:ilvl w:val="0"/>
          <w:numId w:val="23"/>
        </w:numPr>
        <w:spacing w:before="240" w:beforeAutospacing="0" w:after="240" w:afterAutospacing="0"/>
        <w:rPr>
          <w:rFonts w:ascii="Aptos" w:hAnsi="Aptos" w:cs="Arial"/>
          <w:sz w:val="22"/>
          <w:szCs w:val="22"/>
        </w:rPr>
      </w:pPr>
      <w:r w:rsidRPr="00BD4F82">
        <w:rPr>
          <w:rStyle w:val="cf01"/>
          <w:rFonts w:ascii="Aptos" w:hAnsi="Aptos" w:cs="Arial"/>
          <w:sz w:val="22"/>
          <w:szCs w:val="22"/>
        </w:rPr>
        <w:t>There shall be no maximum residential density when the following requirements are met:</w:t>
      </w:r>
    </w:p>
    <w:p w14:paraId="133207A8" w14:textId="701C06FF" w:rsidR="005C339B" w:rsidRPr="00BD4F82" w:rsidRDefault="00170918" w:rsidP="00BD4F82">
      <w:pPr>
        <w:pStyle w:val="pf0"/>
        <w:numPr>
          <w:ilvl w:val="1"/>
          <w:numId w:val="23"/>
        </w:numPr>
        <w:spacing w:before="240" w:beforeAutospacing="0" w:after="240" w:afterAutospacing="0"/>
        <w:rPr>
          <w:rStyle w:val="cf01"/>
          <w:rFonts w:ascii="Aptos" w:hAnsi="Aptos" w:cs="Arial"/>
          <w:sz w:val="22"/>
          <w:szCs w:val="22"/>
        </w:rPr>
      </w:pPr>
      <w:r w:rsidRPr="00BD4F82">
        <w:rPr>
          <w:rStyle w:val="cf01"/>
          <w:rFonts w:ascii="Aptos" w:hAnsi="Aptos" w:cs="Arial"/>
          <w:sz w:val="22"/>
          <w:szCs w:val="22"/>
        </w:rPr>
        <w:lastRenderedPageBreak/>
        <w:t>All applicable minimum building, rehabilitation, and fire code requirements are met for all the units.</w:t>
      </w:r>
    </w:p>
    <w:p w14:paraId="7C21A521" w14:textId="540D7D61" w:rsidR="00B22D9E" w:rsidRPr="00BD4F82" w:rsidRDefault="00170918" w:rsidP="00BD4F82">
      <w:pPr>
        <w:pStyle w:val="pf0"/>
        <w:numPr>
          <w:ilvl w:val="1"/>
          <w:numId w:val="23"/>
        </w:numPr>
        <w:spacing w:before="240" w:beforeAutospacing="0" w:after="240" w:afterAutospacing="0"/>
        <w:rPr>
          <w:rFonts w:ascii="Aptos" w:hAnsi="Aptos" w:cs="Arial"/>
          <w:sz w:val="22"/>
          <w:szCs w:val="22"/>
        </w:rPr>
      </w:pPr>
      <w:r w:rsidRPr="00BD4F82">
        <w:rPr>
          <w:rStyle w:val="cf01"/>
          <w:rFonts w:ascii="Aptos" w:hAnsi="Aptos" w:cs="Arial"/>
          <w:sz w:val="22"/>
          <w:szCs w:val="22"/>
        </w:rPr>
        <w:t>Projects with more than four units include not less than ten percent (10%) of the total number of units as low-to moderate income housing.</w:t>
      </w:r>
    </w:p>
    <w:p w14:paraId="4C45760C" w14:textId="2ED4EC1D" w:rsidR="0020540C" w:rsidRPr="00BD4F82" w:rsidRDefault="00170918" w:rsidP="00BD4F82">
      <w:pPr>
        <w:pStyle w:val="pf0"/>
        <w:numPr>
          <w:ilvl w:val="0"/>
          <w:numId w:val="23"/>
        </w:numPr>
        <w:spacing w:before="240" w:beforeAutospacing="0" w:after="240" w:afterAutospacing="0"/>
        <w:rPr>
          <w:rFonts w:ascii="Aptos" w:hAnsi="Aptos" w:cs="Arial"/>
          <w:sz w:val="22"/>
          <w:szCs w:val="22"/>
        </w:rPr>
      </w:pPr>
      <w:r w:rsidRPr="00BD4F82">
        <w:rPr>
          <w:rStyle w:val="cf01"/>
          <w:rFonts w:ascii="Aptos" w:hAnsi="Aptos" w:cs="Arial"/>
          <w:sz w:val="22"/>
          <w:szCs w:val="22"/>
        </w:rPr>
        <w:t>The allowable density is limited to [INSERT UNITS PER ACRE OR REFERENCE TO UNDERLYING ZONING DISTRICT] when less than ten percent (10%) of the total number of dwelling units are provide</w:t>
      </w:r>
      <w:r w:rsidR="005B0E6A" w:rsidRPr="00BD4F82">
        <w:rPr>
          <w:rStyle w:val="cf01"/>
          <w:rFonts w:ascii="Aptos" w:hAnsi="Aptos" w:cs="Arial"/>
          <w:sz w:val="22"/>
          <w:szCs w:val="22"/>
        </w:rPr>
        <w:t>d</w:t>
      </w:r>
      <w:r w:rsidRPr="00BD4F82">
        <w:rPr>
          <w:rStyle w:val="cf01"/>
          <w:rFonts w:ascii="Aptos" w:hAnsi="Aptos" w:cs="Arial"/>
          <w:sz w:val="22"/>
          <w:szCs w:val="22"/>
        </w:rPr>
        <w:t xml:space="preserve"> as low-to moderate-income.</w:t>
      </w:r>
      <w:r w:rsidRPr="00BD4F82">
        <w:rPr>
          <w:rStyle w:val="FootnoteReference"/>
          <w:rFonts w:ascii="Arial" w:eastAsia="Swis721 Lt BT" w:hAnsi="Arial" w:cs="Arial"/>
          <w:b/>
          <w:bCs/>
        </w:rPr>
        <w:footnoteReference w:id="1"/>
      </w:r>
    </w:p>
    <w:p w14:paraId="3A374846" w14:textId="77777777" w:rsidR="00400E59" w:rsidRPr="00BD4F82" w:rsidRDefault="00170918" w:rsidP="00BD4F82">
      <w:pPr>
        <w:numPr>
          <w:ilvl w:val="0"/>
          <w:numId w:val="23"/>
        </w:numPr>
        <w:pBdr>
          <w:left w:val="none" w:sz="0" w:space="5" w:color="auto"/>
        </w:pBdr>
        <w:jc w:val="both"/>
        <w:rPr>
          <w:rFonts w:ascii="Aptos" w:eastAsia="Swis721 Lt BT" w:hAnsi="Aptos" w:cs="Arial"/>
          <w:strike/>
          <w:color w:val="C00000"/>
        </w:rPr>
      </w:pPr>
      <w:r w:rsidRPr="00BD4F82">
        <w:rPr>
          <w:rFonts w:ascii="Aptos" w:eastAsia="Swis721 Lt BT" w:hAnsi="Aptos" w:cs="Arial"/>
          <w:strike/>
          <w:color w:val="C00000"/>
        </w:rPr>
        <w:t>For projects that meet the following criteria, the residential density shall be no less than fifteen (15) dwelling units per acre:</w:t>
      </w:r>
    </w:p>
    <w:p w14:paraId="75DC858F" w14:textId="3A19E21B" w:rsidR="00400E59" w:rsidRPr="00BD4F82" w:rsidRDefault="00170918" w:rsidP="00BD4F82">
      <w:pPr>
        <w:numPr>
          <w:ilvl w:val="1"/>
          <w:numId w:val="23"/>
        </w:numPr>
        <w:pBdr>
          <w:left w:val="none" w:sz="0" w:space="13" w:color="auto"/>
        </w:pBdr>
        <w:jc w:val="both"/>
        <w:rPr>
          <w:rFonts w:ascii="Aptos" w:eastAsia="Swis721 Lt BT" w:hAnsi="Aptos" w:cs="Arial"/>
          <w:strike/>
          <w:color w:val="C00000"/>
        </w:rPr>
      </w:pPr>
      <w:r w:rsidRPr="00BD4F82">
        <w:rPr>
          <w:rFonts w:ascii="Aptos" w:eastAsia="Swis721 Lt BT" w:hAnsi="Aptos" w:cs="Arial"/>
          <w:strike/>
          <w:color w:val="C00000"/>
        </w:rPr>
        <w:t>Where the project is limited to the existing footprint, except that the footprint is allowed to be expanded to accommodate upgrades related to the building fire code, and utility requirements.</w:t>
      </w:r>
    </w:p>
    <w:p w14:paraId="27FCC0E0" w14:textId="77777777" w:rsidR="00400E59" w:rsidRPr="00BD4F82" w:rsidRDefault="00170918" w:rsidP="00BD4F82">
      <w:pPr>
        <w:numPr>
          <w:ilvl w:val="1"/>
          <w:numId w:val="23"/>
        </w:numPr>
        <w:pBdr>
          <w:left w:val="none" w:sz="0" w:space="13" w:color="auto"/>
        </w:pBdr>
        <w:jc w:val="both"/>
        <w:rPr>
          <w:rFonts w:ascii="Aptos" w:eastAsia="Swis721 Lt BT" w:hAnsi="Aptos" w:cs="Arial"/>
          <w:strike/>
          <w:color w:val="C00000"/>
        </w:rPr>
      </w:pPr>
      <w:r w:rsidRPr="00BD4F82">
        <w:rPr>
          <w:rFonts w:ascii="Aptos" w:eastAsia="Swis721 Lt BT" w:hAnsi="Aptos" w:cs="Arial"/>
          <w:strike/>
          <w:color w:val="C00000"/>
        </w:rPr>
        <w:t>The development includes at least twenty percent (20%) low- and moderate-income housing.</w:t>
      </w:r>
    </w:p>
    <w:p w14:paraId="26802A04" w14:textId="77777777" w:rsidR="00400E59" w:rsidRPr="00BD4F82" w:rsidRDefault="00170918" w:rsidP="00BD4F82">
      <w:pPr>
        <w:numPr>
          <w:ilvl w:val="1"/>
          <w:numId w:val="23"/>
        </w:numPr>
        <w:pBdr>
          <w:left w:val="none" w:sz="0" w:space="13" w:color="auto"/>
        </w:pBdr>
        <w:jc w:val="both"/>
        <w:rPr>
          <w:rFonts w:ascii="Aptos" w:eastAsia="Swis721 Lt BT" w:hAnsi="Aptos" w:cs="Arial"/>
          <w:strike/>
          <w:color w:val="C00000"/>
        </w:rPr>
      </w:pPr>
      <w:r w:rsidRPr="00BD4F82">
        <w:rPr>
          <w:rFonts w:ascii="Aptos" w:eastAsia="Swis721 Lt BT" w:hAnsi="Aptos" w:cs="Arial"/>
          <w:strike/>
          <w:color w:val="C00000"/>
        </w:rPr>
        <w:t>The development has access to public sewer and water service or has access to adequate private water, such as well and/or wastewater treatment systems approved by the relevant state agency for the entire development as applicable.</w:t>
      </w:r>
    </w:p>
    <w:p w14:paraId="1DD8B0B9" w14:textId="3B67BA3F" w:rsidR="00400E59" w:rsidRPr="00BD4F82" w:rsidRDefault="00170918" w:rsidP="00BD4F82">
      <w:pPr>
        <w:numPr>
          <w:ilvl w:val="1"/>
          <w:numId w:val="23"/>
        </w:numPr>
        <w:pBdr>
          <w:left w:val="none" w:sz="0" w:space="5" w:color="auto"/>
        </w:pBdr>
        <w:jc w:val="both"/>
        <w:rPr>
          <w:rFonts w:ascii="Aptos" w:eastAsia="Swis721 Lt BT" w:hAnsi="Aptos" w:cs="Arial"/>
          <w:strike/>
          <w:color w:val="C00000"/>
        </w:rPr>
      </w:pPr>
      <w:r w:rsidRPr="00BD4F82">
        <w:rPr>
          <w:rFonts w:ascii="Aptos" w:eastAsia="Swis721 Lt BT" w:hAnsi="Aptos" w:cs="Arial"/>
          <w:strike/>
          <w:color w:val="C00000"/>
        </w:rPr>
        <w:t xml:space="preserve">For all other adaptive reuse projects, the residential density permitted in the converted structure shall be the maximum allowed that otherwise meets all standards of minimum housing and has access to public sewer and water services or has access to adequate private water, such as well and wastewater treatment systems approved by the relevant state agency for the entire development, as applicable. </w:t>
      </w:r>
    </w:p>
    <w:p w14:paraId="3601086E" w14:textId="1560E38C" w:rsidR="00400E59" w:rsidRPr="00BD4F82" w:rsidRDefault="00170918" w:rsidP="00BD4F82">
      <w:pPr>
        <w:numPr>
          <w:ilvl w:val="1"/>
          <w:numId w:val="23"/>
        </w:numPr>
        <w:pBdr>
          <w:left w:val="none" w:sz="0" w:space="5" w:color="auto"/>
        </w:pBdr>
        <w:jc w:val="both"/>
        <w:rPr>
          <w:rFonts w:ascii="Aptos" w:eastAsia="Swis721 Lt BT" w:hAnsi="Aptos" w:cs="Arial"/>
          <w:strike/>
          <w:color w:val="C00000"/>
        </w:rPr>
      </w:pPr>
      <w:r w:rsidRPr="00BD4F82">
        <w:rPr>
          <w:rFonts w:ascii="Aptos" w:eastAsia="Swis721 Lt BT" w:hAnsi="Aptos" w:cs="Arial"/>
          <w:strike/>
          <w:color w:val="C00000"/>
        </w:rPr>
        <w:t>The density proposed for any adaptive reuse project shall be determined to meet all public health and safety standards.</w:t>
      </w:r>
    </w:p>
    <w:p w14:paraId="4C81D9F2" w14:textId="77777777" w:rsidR="008732BD" w:rsidRPr="00BD4F82" w:rsidRDefault="00170918" w:rsidP="00BD4F82">
      <w:pPr>
        <w:numPr>
          <w:ilvl w:val="0"/>
          <w:numId w:val="23"/>
        </w:numPr>
        <w:pBdr>
          <w:left w:val="none" w:sz="0" w:space="5" w:color="auto"/>
        </w:pBdr>
        <w:jc w:val="both"/>
        <w:rPr>
          <w:rFonts w:ascii="Aptos" w:eastAsia="Swis721 Lt BT" w:hAnsi="Aptos" w:cs="Arial"/>
        </w:rPr>
      </w:pPr>
      <w:r w:rsidRPr="00BD4F82">
        <w:rPr>
          <w:rFonts w:ascii="Aptos" w:eastAsia="Swis721 Lt BT" w:hAnsi="Aptos" w:cs="Arial"/>
        </w:rPr>
        <w:t>Dimensional requirements.</w:t>
      </w:r>
    </w:p>
    <w:p w14:paraId="79FBC111" w14:textId="77777777" w:rsidR="00BD4F82" w:rsidRPr="00BD4F82" w:rsidRDefault="00170918" w:rsidP="00BD4F82">
      <w:pPr>
        <w:numPr>
          <w:ilvl w:val="1"/>
          <w:numId w:val="23"/>
        </w:numPr>
        <w:pBdr>
          <w:left w:val="none" w:sz="0" w:space="5" w:color="auto"/>
        </w:pBdr>
        <w:jc w:val="both"/>
        <w:rPr>
          <w:rFonts w:ascii="Aptos" w:eastAsia="Swis721 Lt BT" w:hAnsi="Aptos" w:cs="Arial"/>
        </w:rPr>
      </w:pPr>
      <w:r w:rsidRPr="00BD4F82">
        <w:rPr>
          <w:rFonts w:ascii="Aptos" w:hAnsi="Aptos" w:cs="Arial"/>
          <w:color w:val="C00000"/>
          <w:u w:val="single"/>
        </w:rPr>
        <w:t xml:space="preserve">Building envelope. </w:t>
      </w:r>
      <w:r w:rsidR="007F52D2" w:rsidRPr="00BD4F82">
        <w:rPr>
          <w:rFonts w:ascii="Aptos" w:hAnsi="Aptos" w:cs="Arial"/>
          <w:color w:val="C00000"/>
          <w:u w:val="single"/>
        </w:rPr>
        <w:t>The</w:t>
      </w:r>
      <w:r w:rsidRPr="00BD4F82">
        <w:rPr>
          <w:rFonts w:ascii="Aptos" w:hAnsi="Aptos" w:cs="Arial"/>
          <w:color w:val="C00000"/>
          <w:u w:val="single"/>
        </w:rPr>
        <w:t xml:space="preserve"> development shall be limited to the existing building envelope, except that the envelope is allowed to be expanded to accommodate </w:t>
      </w:r>
      <w:r w:rsidRPr="00BD4F82">
        <w:rPr>
          <w:rFonts w:ascii="Aptos" w:hAnsi="Aptos" w:cs="Arial"/>
          <w:color w:val="C00000"/>
          <w:u w:val="single"/>
        </w:rPr>
        <w:lastRenderedPageBreak/>
        <w:t>upgrades of non-occupiable space related to the building and fire codes and utilities such as HVAC equipment, stairs, and elevators.</w:t>
      </w:r>
      <w:r w:rsidRPr="00BD4F82">
        <w:rPr>
          <w:rStyle w:val="FootnoteReference"/>
          <w:rFonts w:ascii="Arial" w:hAnsi="Arial" w:cs="Arial"/>
          <w:b/>
          <w:bCs/>
          <w:color w:val="C00000"/>
          <w:sz w:val="24"/>
          <w:szCs w:val="24"/>
        </w:rPr>
        <w:footnoteReference w:id="2"/>
      </w:r>
      <w:r w:rsidRPr="00BD4F82">
        <w:rPr>
          <w:rFonts w:ascii="Arial" w:hAnsi="Arial" w:cs="Arial"/>
          <w:b/>
          <w:bCs/>
          <w:color w:val="C00000"/>
          <w:sz w:val="24"/>
          <w:szCs w:val="24"/>
        </w:rPr>
        <w:t xml:space="preserve"> </w:t>
      </w:r>
    </w:p>
    <w:p w14:paraId="20234DD0" w14:textId="6FF3E096" w:rsidR="00CD6FD6" w:rsidRPr="00BD4F82" w:rsidRDefault="00170918" w:rsidP="00BD4F82">
      <w:pPr>
        <w:numPr>
          <w:ilvl w:val="1"/>
          <w:numId w:val="23"/>
        </w:numPr>
        <w:pBdr>
          <w:left w:val="none" w:sz="0" w:space="5" w:color="auto"/>
        </w:pBdr>
        <w:jc w:val="both"/>
        <w:rPr>
          <w:rFonts w:ascii="Aptos" w:eastAsia="Swis721 Lt BT" w:hAnsi="Aptos" w:cs="Arial"/>
        </w:rPr>
      </w:pPr>
      <w:r w:rsidRPr="00BD4F82">
        <w:rPr>
          <w:rFonts w:ascii="Aptos" w:hAnsi="Aptos" w:cs="Arial"/>
          <w:color w:val="C00000"/>
          <w:u w:val="single"/>
        </w:rPr>
        <w:t xml:space="preserve">Parking. </w:t>
      </w:r>
      <w:r w:rsidR="002A42D0" w:rsidRPr="00BD4F82">
        <w:rPr>
          <w:rFonts w:ascii="Aptos" w:hAnsi="Aptos" w:cs="Arial"/>
          <w:color w:val="C00000"/>
          <w:u w:val="single"/>
        </w:rPr>
        <w:t xml:space="preserve"> Each unit within an adaptive reuse project shall provide</w:t>
      </w:r>
      <w:r w:rsidRPr="00BD4F82">
        <w:rPr>
          <w:rFonts w:ascii="Aptos" w:hAnsi="Aptos" w:cs="Arial"/>
          <w:color w:val="C00000"/>
          <w:u w:val="single"/>
        </w:rPr>
        <w:t xml:space="preserve"> one off-street parking space for the first two (2) bedrooms of any dwelling unit and one </w:t>
      </w:r>
      <w:r w:rsidR="002A42D0" w:rsidRPr="00BD4F82">
        <w:rPr>
          <w:rFonts w:ascii="Aptos" w:hAnsi="Aptos" w:cs="Arial"/>
          <w:color w:val="C00000"/>
          <w:u w:val="single"/>
        </w:rPr>
        <w:t xml:space="preserve">additional </w:t>
      </w:r>
      <w:r w:rsidRPr="00BD4F82">
        <w:rPr>
          <w:rFonts w:ascii="Aptos" w:hAnsi="Aptos" w:cs="Arial"/>
          <w:color w:val="C00000"/>
          <w:u w:val="single"/>
        </w:rPr>
        <w:t>off street parking space for any additional bedroom beyond the second bedroom in any dwelling unit.</w:t>
      </w:r>
      <w:r w:rsidRPr="00BD4F82">
        <w:rPr>
          <w:rStyle w:val="FootnoteReference"/>
          <w:rFonts w:ascii="Arial" w:hAnsi="Arial" w:cs="Arial"/>
          <w:b/>
          <w:bCs/>
          <w:color w:val="C00000"/>
          <w:sz w:val="24"/>
          <w:szCs w:val="24"/>
        </w:rPr>
        <w:footnoteReference w:id="3"/>
      </w:r>
    </w:p>
    <w:p w14:paraId="6C5FE9F6" w14:textId="2E06A0C1" w:rsidR="00CD6FD6" w:rsidRPr="00BD4F82" w:rsidRDefault="00170918" w:rsidP="00BD4F82">
      <w:pPr>
        <w:pStyle w:val="Default"/>
        <w:numPr>
          <w:ilvl w:val="0"/>
          <w:numId w:val="24"/>
        </w:numPr>
        <w:spacing w:before="240" w:after="240"/>
        <w:rPr>
          <w:rFonts w:ascii="Aptos" w:hAnsi="Aptos" w:cs="Arial"/>
          <w:color w:val="auto"/>
          <w:sz w:val="22"/>
          <w:szCs w:val="22"/>
        </w:rPr>
      </w:pPr>
      <w:r w:rsidRPr="00BD4F82">
        <w:rPr>
          <w:rFonts w:ascii="Aptos" w:hAnsi="Aptos" w:cs="Arial"/>
          <w:color w:val="auto"/>
          <w:sz w:val="22"/>
          <w:szCs w:val="22"/>
        </w:rPr>
        <w:t>Existing Setbacks.</w:t>
      </w:r>
    </w:p>
    <w:p w14:paraId="38FB4678" w14:textId="7D7843B2" w:rsidR="008B4664" w:rsidRPr="00BD4F82" w:rsidRDefault="00170918" w:rsidP="00BD4F82">
      <w:pPr>
        <w:pStyle w:val="Default"/>
        <w:numPr>
          <w:ilvl w:val="1"/>
          <w:numId w:val="24"/>
        </w:numPr>
        <w:spacing w:before="240" w:after="240"/>
        <w:rPr>
          <w:rFonts w:ascii="Aptos" w:hAnsi="Aptos" w:cs="Arial"/>
          <w:color w:val="C00000"/>
          <w:sz w:val="22"/>
          <w:szCs w:val="22"/>
          <w:u w:val="single"/>
        </w:rPr>
      </w:pPr>
      <w:r w:rsidRPr="00BD4F82">
        <w:rPr>
          <w:rFonts w:ascii="Aptos" w:hAnsi="Aptos" w:cs="Arial"/>
          <w:color w:val="C00000"/>
          <w:sz w:val="22"/>
          <w:szCs w:val="22"/>
          <w:u w:val="single"/>
        </w:rPr>
        <w:t xml:space="preserve">Notwithstanding any other provisions of this chapter, for adaptive reuse projects, existing building setbacks shall remain and shall be considered legal nonconforming, but no additional encroachments shall be permitted into any nonconforming setback, unless otherwise allowed by </w:t>
      </w:r>
      <w:r w:rsidR="00F35158" w:rsidRPr="00BD4F82">
        <w:rPr>
          <w:rFonts w:ascii="Aptos" w:hAnsi="Aptos" w:cs="Arial"/>
          <w:color w:val="C00000"/>
          <w:sz w:val="22"/>
          <w:szCs w:val="22"/>
          <w:u w:val="single"/>
        </w:rPr>
        <w:t xml:space="preserve">[SECTION ALLOWING ADJUSTMENTS, IF APPLICABLE] </w:t>
      </w:r>
      <w:r w:rsidRPr="00BD4F82">
        <w:rPr>
          <w:rFonts w:ascii="Aptos" w:hAnsi="Aptos" w:cs="Arial"/>
          <w:color w:val="C00000"/>
          <w:sz w:val="22"/>
          <w:szCs w:val="22"/>
          <w:u w:val="single"/>
        </w:rPr>
        <w:t>or relief is granted by the applicable authority.</w:t>
      </w:r>
    </w:p>
    <w:p w14:paraId="27BAEE26" w14:textId="77777777" w:rsidR="00400E59" w:rsidRPr="00BD4F82" w:rsidRDefault="00170918" w:rsidP="00BD4F82">
      <w:pPr>
        <w:numPr>
          <w:ilvl w:val="1"/>
          <w:numId w:val="24"/>
        </w:numPr>
        <w:pBdr>
          <w:left w:val="none" w:sz="0" w:space="5" w:color="auto"/>
        </w:pBdr>
        <w:rPr>
          <w:rFonts w:ascii="Aptos" w:eastAsia="Swis721 Lt BT" w:hAnsi="Aptos" w:cs="Arial"/>
          <w:strike/>
          <w:color w:val="C00000"/>
        </w:rPr>
      </w:pPr>
      <w:r w:rsidRPr="00BD4F82">
        <w:rPr>
          <w:rFonts w:ascii="Aptos" w:eastAsia="Swis721 Lt BT" w:hAnsi="Aptos" w:cs="Arial"/>
          <w:strike/>
          <w:color w:val="C00000"/>
        </w:rPr>
        <w:t>Notwithstanding any other provisions of this section, existing building setbacks shall remain and are considered legal nonconforming.</w:t>
      </w:r>
    </w:p>
    <w:p w14:paraId="494EE339" w14:textId="15C8DAD9" w:rsidR="00400E59" w:rsidRPr="00BD4F82" w:rsidRDefault="00170918" w:rsidP="00BD4F82">
      <w:pPr>
        <w:numPr>
          <w:ilvl w:val="1"/>
          <w:numId w:val="24"/>
        </w:numPr>
        <w:pBdr>
          <w:left w:val="none" w:sz="0" w:space="5" w:color="auto"/>
        </w:pBdr>
        <w:rPr>
          <w:rFonts w:ascii="Aptos" w:eastAsia="Swis721 Lt BT" w:hAnsi="Aptos" w:cs="Arial"/>
          <w:strike/>
          <w:color w:val="C00000"/>
        </w:rPr>
      </w:pPr>
      <w:r w:rsidRPr="00BD4F82">
        <w:rPr>
          <w:rFonts w:ascii="Aptos" w:eastAsia="Swis721 Lt BT" w:hAnsi="Aptos" w:cs="Arial"/>
          <w:strike/>
          <w:color w:val="C00000"/>
        </w:rPr>
        <w:t>No additional encroachments shall be permitted into any nonconforming setback unless relief is granted by the permitting authority.</w:t>
      </w:r>
    </w:p>
    <w:p w14:paraId="59278185" w14:textId="0E159EE2" w:rsidR="00CD6FD6" w:rsidRPr="00BD4F82" w:rsidRDefault="00170918" w:rsidP="00BD4F82">
      <w:pPr>
        <w:pStyle w:val="ListParagraph"/>
        <w:numPr>
          <w:ilvl w:val="0"/>
          <w:numId w:val="24"/>
        </w:numPr>
        <w:pBdr>
          <w:left w:val="none" w:sz="0" w:space="5" w:color="auto"/>
        </w:pBdr>
        <w:contextualSpacing w:val="0"/>
        <w:rPr>
          <w:rFonts w:ascii="Aptos" w:eastAsia="Swis721 Lt BT" w:hAnsi="Aptos" w:cs="Arial"/>
          <w:strike/>
        </w:rPr>
      </w:pPr>
      <w:r w:rsidRPr="00BD4F82">
        <w:rPr>
          <w:rFonts w:ascii="Aptos" w:eastAsia="Swis721 Lt BT" w:hAnsi="Aptos" w:cs="Arial"/>
        </w:rPr>
        <w:t>Height.</w:t>
      </w:r>
    </w:p>
    <w:p w14:paraId="4882B8D1" w14:textId="038D3368" w:rsidR="00400E59" w:rsidRPr="00BD4F82" w:rsidRDefault="00F20553" w:rsidP="00BD4F82">
      <w:pPr>
        <w:pStyle w:val="ListParagraph"/>
        <w:numPr>
          <w:ilvl w:val="1"/>
          <w:numId w:val="24"/>
        </w:numPr>
        <w:pBdr>
          <w:left w:val="none" w:sz="0" w:space="5" w:color="auto"/>
        </w:pBdr>
        <w:contextualSpacing w:val="0"/>
        <w:rPr>
          <w:rFonts w:ascii="Aptos" w:eastAsia="Swis721 Lt BT" w:hAnsi="Aptos" w:cs="Arial"/>
          <w:color w:val="C00000"/>
          <w:u w:val="single"/>
        </w:rPr>
      </w:pPr>
      <w:r w:rsidRPr="00BD4F82">
        <w:rPr>
          <w:rFonts w:ascii="Aptos" w:eastAsia="Swis721 Lt BT" w:hAnsi="Aptos" w:cs="Arial"/>
          <w:color w:val="C00000"/>
          <w:u w:val="single"/>
        </w:rPr>
        <w:t>Notwithstanding other provisions of this section, the height of the structure shall be considered legal nonconforming if it exceeds the maximum height of the zoning district in which the structure is located</w:t>
      </w:r>
      <w:r w:rsidR="00170918" w:rsidRPr="00BD4F82">
        <w:rPr>
          <w:rFonts w:ascii="Aptos" w:eastAsia="Swis721 Lt BT" w:hAnsi="Aptos" w:cs="Arial"/>
          <w:color w:val="C00000"/>
          <w:u w:val="single"/>
        </w:rPr>
        <w:t xml:space="preserve">, and any non-occupiable rooftop construction such as HVAC equipment and stairs or elevator towers, but excluding rooftop decks, shall be included within the height exemption.  </w:t>
      </w:r>
    </w:p>
    <w:p w14:paraId="59F8F993" w14:textId="77777777" w:rsidR="00400E59" w:rsidRPr="00BD4F82" w:rsidRDefault="00170918" w:rsidP="00BD4F82">
      <w:pPr>
        <w:numPr>
          <w:ilvl w:val="2"/>
          <w:numId w:val="24"/>
        </w:numPr>
        <w:pBdr>
          <w:left w:val="none" w:sz="0" w:space="13" w:color="auto"/>
        </w:pBdr>
        <w:rPr>
          <w:rFonts w:ascii="Aptos" w:eastAsia="Swis721 Lt BT" w:hAnsi="Aptos" w:cs="Arial"/>
          <w:strike/>
          <w:color w:val="C00000"/>
        </w:rPr>
      </w:pPr>
      <w:r w:rsidRPr="00BD4F82">
        <w:rPr>
          <w:rFonts w:ascii="Aptos" w:eastAsia="Swis721 Lt BT" w:hAnsi="Aptos" w:cs="Arial"/>
          <w:strike/>
          <w:color w:val="C00000"/>
        </w:rPr>
        <w:t>Any rooftop construction necessary for building or fire code compliance, or utility infrastructure is included in the height exemption.</w:t>
      </w:r>
    </w:p>
    <w:p w14:paraId="3F8B5977" w14:textId="25CAEFFE" w:rsidR="00400E59" w:rsidRPr="00BD4F82" w:rsidRDefault="00170918" w:rsidP="00BD4F82">
      <w:pPr>
        <w:numPr>
          <w:ilvl w:val="0"/>
          <w:numId w:val="24"/>
        </w:numPr>
        <w:pBdr>
          <w:left w:val="none" w:sz="0" w:space="5" w:color="auto"/>
        </w:pBdr>
        <w:rPr>
          <w:rFonts w:ascii="Aptos" w:eastAsia="Swis721 Lt BT" w:hAnsi="Aptos" w:cs="Arial"/>
          <w:strike/>
          <w:color w:val="C00000"/>
        </w:rPr>
      </w:pPr>
      <w:r w:rsidRPr="00BD4F82">
        <w:rPr>
          <w:rFonts w:ascii="Aptos" w:eastAsia="Swis721 Lt BT" w:hAnsi="Aptos" w:cs="Arial"/>
          <w:strike/>
          <w:color w:val="C00000"/>
        </w:rPr>
        <w:lastRenderedPageBreak/>
        <w:t>Parking requirements.</w:t>
      </w:r>
    </w:p>
    <w:p w14:paraId="03520405" w14:textId="0E1A962C" w:rsidR="000E3E53" w:rsidRPr="00BD4F82" w:rsidRDefault="00170918" w:rsidP="00BD4F82">
      <w:pPr>
        <w:pStyle w:val="ListParagraph"/>
        <w:numPr>
          <w:ilvl w:val="1"/>
          <w:numId w:val="24"/>
        </w:numPr>
        <w:contextualSpacing w:val="0"/>
        <w:rPr>
          <w:rFonts w:ascii="Aptos" w:eastAsia="Swis721 Lt BT" w:hAnsi="Aptos" w:cs="Arial"/>
          <w:strike/>
          <w:color w:val="C00000"/>
        </w:rPr>
      </w:pPr>
      <w:r w:rsidRPr="00BD4F82">
        <w:rPr>
          <w:rFonts w:ascii="Aptos" w:eastAsia="Swis721 Lt BT" w:hAnsi="Aptos" w:cs="Arial"/>
          <w:strike/>
          <w:color w:val="C00000"/>
        </w:rPr>
        <w:t xml:space="preserve">Adaptive reuse developments shall provide one parking space per dwelling unit. </w:t>
      </w:r>
      <w:r w:rsidRPr="00BD4F82">
        <w:rPr>
          <w:rFonts w:ascii="Aptos" w:eastAsia="Swis721 Lt BT" w:hAnsi="Aptos" w:cs="Arial"/>
          <w:strike/>
        </w:rPr>
        <w:t>The applicant may propose additional parking in excess of one space per dwelling unit</w:t>
      </w:r>
      <w:r w:rsidRPr="00BD4F82">
        <w:rPr>
          <w:rFonts w:ascii="Aptos" w:eastAsia="Swis721 Lt BT" w:hAnsi="Aptos" w:cs="Arial"/>
          <w:strike/>
          <w:color w:val="C00000"/>
        </w:rPr>
        <w:t>.</w:t>
      </w:r>
    </w:p>
    <w:p w14:paraId="7A31D387" w14:textId="184E3698" w:rsidR="00400E59" w:rsidRPr="00BD4F82" w:rsidRDefault="00170918" w:rsidP="00BD4F82">
      <w:pPr>
        <w:numPr>
          <w:ilvl w:val="1"/>
          <w:numId w:val="24"/>
        </w:numPr>
        <w:pBdr>
          <w:left w:val="none" w:sz="0" w:space="5" w:color="auto"/>
        </w:pBdr>
        <w:rPr>
          <w:rFonts w:ascii="Aptos" w:eastAsia="Swis721 Lt BT" w:hAnsi="Aptos" w:cs="Arial"/>
          <w:strike/>
          <w:color w:val="C00000"/>
        </w:rPr>
      </w:pPr>
      <w:r w:rsidRPr="00BD4F82">
        <w:rPr>
          <w:rFonts w:ascii="Aptos" w:eastAsia="Swis721 Lt BT" w:hAnsi="Aptos" w:cs="Arial"/>
          <w:strike/>
          <w:color w:val="C00000"/>
        </w:rPr>
        <w:t xml:space="preserve">The parking requirements and design standards in [INSERT LOCAL ORDINANCE AND/OR REGULATION SECTION REFERENCE] shall apply to all uses proposed as part of the project unless otherwise approved by the applicable authority. The number of parking spaces required shall apply </w:t>
      </w:r>
      <w:r w:rsidR="000E3E53" w:rsidRPr="00BD4F82">
        <w:rPr>
          <w:rFonts w:ascii="Aptos" w:eastAsia="Swis721 Lt BT" w:hAnsi="Aptos" w:cs="Arial"/>
          <w:strike/>
          <w:color w:val="C00000"/>
        </w:rPr>
        <w:t>for uses other than residential</w:t>
      </w:r>
      <w:r w:rsidRPr="00BD4F82">
        <w:rPr>
          <w:rFonts w:ascii="Aptos" w:eastAsia="Swis721 Lt BT" w:hAnsi="Aptos" w:cs="Arial"/>
          <w:strike/>
          <w:color w:val="C00000"/>
        </w:rPr>
        <w:t>.</w:t>
      </w:r>
    </w:p>
    <w:p w14:paraId="0A019189" w14:textId="77777777" w:rsidR="00400E59" w:rsidRPr="00BD4F82" w:rsidRDefault="00170918" w:rsidP="00BD4F82">
      <w:pPr>
        <w:numPr>
          <w:ilvl w:val="0"/>
          <w:numId w:val="24"/>
        </w:numPr>
        <w:pBdr>
          <w:left w:val="none" w:sz="0" w:space="7" w:color="auto"/>
        </w:pBdr>
        <w:jc w:val="both"/>
        <w:rPr>
          <w:rFonts w:ascii="Aptos" w:eastAsia="Swis721 Lt BT" w:hAnsi="Aptos" w:cs="Arial"/>
        </w:rPr>
      </w:pPr>
      <w:r w:rsidRPr="00BD4F82">
        <w:rPr>
          <w:rFonts w:ascii="Aptos" w:eastAsia="Swis721 Lt BT" w:hAnsi="Aptos" w:cs="Arial"/>
        </w:rPr>
        <w:t>Allowed uses within an adaptive reuse project.</w:t>
      </w:r>
    </w:p>
    <w:p w14:paraId="7938DAAE" w14:textId="77777777" w:rsidR="00400E59" w:rsidRPr="00BD4F82" w:rsidRDefault="00170918" w:rsidP="00BD4F82">
      <w:pPr>
        <w:numPr>
          <w:ilvl w:val="0"/>
          <w:numId w:val="11"/>
        </w:numPr>
        <w:pBdr>
          <w:left w:val="none" w:sz="0" w:space="5" w:color="auto"/>
        </w:pBdr>
        <w:ind w:left="1440" w:hanging="358"/>
        <w:jc w:val="both"/>
        <w:rPr>
          <w:rFonts w:ascii="Aptos" w:eastAsia="Swis721 Lt BT" w:hAnsi="Aptos" w:cs="Arial"/>
        </w:rPr>
      </w:pPr>
      <w:r w:rsidRPr="00BD4F82">
        <w:rPr>
          <w:rFonts w:ascii="Aptos" w:eastAsia="Swis721 Lt BT" w:hAnsi="Aptos" w:cs="Arial"/>
        </w:rPr>
        <w:t>Residential dwelling units are a permitted use in an adaptive reuse project regardless of the zoning district in which the structure is located, in accordance with the provisions of this section.</w:t>
      </w:r>
    </w:p>
    <w:p w14:paraId="4B82E595" w14:textId="296404C6" w:rsidR="005C339B" w:rsidRPr="00BD4F82" w:rsidRDefault="00170918" w:rsidP="00BD4F82">
      <w:pPr>
        <w:numPr>
          <w:ilvl w:val="0"/>
          <w:numId w:val="11"/>
        </w:numPr>
        <w:pBdr>
          <w:left w:val="none" w:sz="0" w:space="5" w:color="auto"/>
        </w:pBdr>
        <w:ind w:left="1440" w:hanging="358"/>
        <w:jc w:val="both"/>
        <w:rPr>
          <w:rFonts w:ascii="Aptos" w:eastAsia="Swis721 Lt BT" w:hAnsi="Aptos" w:cs="Arial"/>
        </w:rPr>
      </w:pPr>
      <w:r w:rsidRPr="00BD4F82">
        <w:rPr>
          <w:rFonts w:ascii="Aptos" w:eastAsia="Swis721 Lt BT" w:hAnsi="Aptos" w:cs="Arial"/>
        </w:rPr>
        <w:t>Any nonresidential uses proposed as part of an adaptive reuse project must comply with the provisions of [INSERT LOCAL SECTION REFERENCE] for the zoning district in which the structure is located.</w:t>
      </w:r>
      <w:r w:rsidRPr="00BD4F82">
        <w:rPr>
          <w:rFonts w:ascii="Arial" w:hAnsi="Arial" w:cs="Arial"/>
          <w:b/>
          <w:bCs/>
          <w:color w:val="000000"/>
          <w:sz w:val="24"/>
          <w:szCs w:val="24"/>
          <w:vertAlign w:val="superscript"/>
        </w:rPr>
        <w:footnoteReference w:id="4"/>
      </w:r>
    </w:p>
    <w:p w14:paraId="6D5FF9D0" w14:textId="4A1CA759" w:rsidR="000A7F3B" w:rsidRPr="00BD4F82" w:rsidRDefault="005C339B" w:rsidP="00BD4F82">
      <w:pPr>
        <w:numPr>
          <w:ilvl w:val="0"/>
          <w:numId w:val="11"/>
        </w:numPr>
        <w:pBdr>
          <w:left w:val="none" w:sz="0" w:space="5" w:color="auto"/>
        </w:pBdr>
        <w:ind w:left="1440" w:hanging="358"/>
        <w:jc w:val="both"/>
        <w:rPr>
          <w:rFonts w:ascii="Aptos" w:eastAsia="Swis721 Lt BT" w:hAnsi="Aptos" w:cs="Arial"/>
        </w:rPr>
      </w:pPr>
      <w:r w:rsidRPr="00BD4F82">
        <w:rPr>
          <w:rFonts w:ascii="Aptos" w:eastAsia="Swis721 Lt BT" w:hAnsi="Aptos" w:cs="Arial"/>
          <w:color w:val="0070C0"/>
        </w:rPr>
        <w:t>Co-living housing which meets the applicable requirements of the building and fire codes, is allowed in adaptive reuse developments.</w:t>
      </w:r>
      <w:r w:rsidRPr="00BD4F82">
        <w:rPr>
          <w:rStyle w:val="FootnoteReference"/>
          <w:rFonts w:ascii="Arial" w:eastAsia="Swis721 Lt BT" w:hAnsi="Arial" w:cs="Arial"/>
          <w:b/>
          <w:bCs/>
          <w:sz w:val="24"/>
          <w:szCs w:val="24"/>
        </w:rPr>
        <w:footnoteReference w:id="5"/>
      </w:r>
      <w:r w:rsidRPr="00BD4F82">
        <w:rPr>
          <w:rFonts w:ascii="Arial" w:eastAsia="Swis721 Lt BT" w:hAnsi="Arial" w:cs="Arial"/>
          <w:b/>
          <w:bCs/>
          <w:sz w:val="24"/>
          <w:szCs w:val="24"/>
        </w:rPr>
        <w:t xml:space="preserve"> </w:t>
      </w:r>
      <w:r w:rsidRPr="00BD4F82">
        <w:rPr>
          <w:rFonts w:ascii="Aptos" w:eastAsia="Swis721 Lt BT" w:hAnsi="Aptos" w:cs="Arial"/>
          <w:b/>
          <w:bCs/>
          <w:color w:val="0070C0"/>
        </w:rPr>
        <w:t xml:space="preserve"> </w:t>
      </w:r>
      <w:r w:rsidRPr="00BD4F82">
        <w:rPr>
          <w:rFonts w:ascii="Aptos" w:eastAsia="Swis721 Lt BT" w:hAnsi="Aptos" w:cs="Arial"/>
          <w:color w:val="0070C0"/>
        </w:rPr>
        <w:t xml:space="preserve"> </w:t>
      </w:r>
    </w:p>
    <w:p w14:paraId="69B12ECC" w14:textId="62F7A35C" w:rsidR="000A7F3B" w:rsidRPr="00BD4F82" w:rsidRDefault="00170918" w:rsidP="00BD4F82">
      <w:pPr>
        <w:pStyle w:val="ListParagraph"/>
        <w:numPr>
          <w:ilvl w:val="0"/>
          <w:numId w:val="25"/>
        </w:numPr>
        <w:contextualSpacing w:val="0"/>
        <w:jc w:val="both"/>
        <w:rPr>
          <w:rFonts w:ascii="Aptos" w:eastAsia="Swis721 Lt BT" w:hAnsi="Aptos" w:cs="Arial"/>
          <w:i/>
          <w:iCs/>
        </w:rPr>
      </w:pPr>
      <w:r w:rsidRPr="00BD4F82">
        <w:rPr>
          <w:rFonts w:ascii="Aptos" w:eastAsia="Swis721 Lt BT" w:hAnsi="Aptos" w:cs="Arial"/>
        </w:rPr>
        <w:t>Development and Design Standards.</w:t>
      </w:r>
      <w:r w:rsidRPr="00BD4F82">
        <w:rPr>
          <w:rFonts w:ascii="Aptos" w:eastAsia="Swis721 Lt BT" w:hAnsi="Aptos" w:cs="Arial"/>
          <w:i/>
          <w:iCs/>
        </w:rPr>
        <w:t xml:space="preserve"> </w:t>
      </w:r>
      <w:r w:rsidRPr="00BD4F82">
        <w:rPr>
          <w:rFonts w:ascii="Aptos" w:eastAsia="Swis721 Lt BT" w:hAnsi="Aptos" w:cs="Arial"/>
        </w:rPr>
        <w:t>Site design shall be in accordance with the [</w:t>
      </w:r>
      <w:r w:rsidR="00887499" w:rsidRPr="00BD4F82">
        <w:rPr>
          <w:rFonts w:ascii="Aptos" w:eastAsia="Swis721 Lt BT" w:hAnsi="Aptos" w:cs="Arial"/>
        </w:rPr>
        <w:t>INSERT TITLE OF SUBDIVISION AND LAND DEVELOPMENT REGULATIONS</w:t>
      </w:r>
      <w:r w:rsidRPr="00BD4F82">
        <w:rPr>
          <w:rFonts w:ascii="Aptos" w:eastAsia="Swis721 Lt BT" w:hAnsi="Aptos" w:cs="Arial"/>
        </w:rPr>
        <w:t>].</w:t>
      </w:r>
      <w:r w:rsidRPr="00BD4F82">
        <w:rPr>
          <w:rStyle w:val="FootnoteReference"/>
          <w:rFonts w:ascii="Arial" w:eastAsia="Swis721 Lt BT" w:hAnsi="Arial" w:cs="Arial"/>
          <w:b/>
          <w:bCs/>
          <w:sz w:val="24"/>
          <w:szCs w:val="24"/>
        </w:rPr>
        <w:footnoteReference w:id="6"/>
      </w:r>
    </w:p>
    <w:p w14:paraId="0E6A3D78" w14:textId="7D89B77F" w:rsidR="00400E59" w:rsidRPr="00BD4F82" w:rsidRDefault="00170918" w:rsidP="00BD4F82">
      <w:pPr>
        <w:pStyle w:val="ListParagraph"/>
        <w:numPr>
          <w:ilvl w:val="0"/>
          <w:numId w:val="25"/>
        </w:numPr>
        <w:contextualSpacing w:val="0"/>
        <w:jc w:val="both"/>
        <w:rPr>
          <w:rFonts w:ascii="Aptos" w:eastAsia="Swis721 Lt BT" w:hAnsi="Aptos" w:cs="Arial"/>
        </w:rPr>
      </w:pPr>
      <w:r w:rsidRPr="00BD4F82">
        <w:rPr>
          <w:rFonts w:ascii="Aptos" w:eastAsia="Swis721 Lt BT" w:hAnsi="Aptos" w:cs="Arial"/>
        </w:rPr>
        <w:t>Procedural requirements. Adaptive reuse project shall be subject to the procedural requirements of [INSERT LOCAL SECTION REFERENCE] and undergo [development plan review, minor, or major land development review]</w:t>
      </w:r>
      <w:r w:rsidRPr="00BD4F82">
        <w:rPr>
          <w:rStyle w:val="FootnoteReference"/>
          <w:rFonts w:ascii="Aptos" w:eastAsia="Swis721 Lt BT" w:hAnsi="Aptos" w:cs="Arial"/>
          <w:b/>
          <w:bCs/>
        </w:rPr>
        <w:footnoteReference w:id="7"/>
      </w:r>
      <w:r w:rsidRPr="00BD4F82">
        <w:rPr>
          <w:rFonts w:ascii="Aptos" w:eastAsia="Swis721 Lt BT" w:hAnsi="Aptos" w:cs="Arial"/>
          <w:b/>
          <w:bCs/>
        </w:rPr>
        <w:t xml:space="preserve"> </w:t>
      </w:r>
      <w:r w:rsidRPr="00BD4F82">
        <w:rPr>
          <w:rFonts w:ascii="Aptos" w:eastAsia="Swis721 Lt BT" w:hAnsi="Aptos" w:cs="Arial"/>
        </w:rPr>
        <w:t xml:space="preserve">as determined in that section. </w:t>
      </w:r>
    </w:p>
    <w:p w14:paraId="6D6B275A" w14:textId="3F9FDC44" w:rsidR="000A7F3B" w:rsidRPr="00BD4F82" w:rsidRDefault="00170918" w:rsidP="00BD4F82">
      <w:pPr>
        <w:numPr>
          <w:ilvl w:val="0"/>
          <w:numId w:val="25"/>
        </w:numPr>
        <w:pBdr>
          <w:left w:val="none" w:sz="0" w:space="5" w:color="auto"/>
        </w:pBdr>
        <w:rPr>
          <w:rFonts w:ascii="Aptos" w:eastAsia="Swis721 Lt BT" w:hAnsi="Aptos" w:cs="Arial"/>
        </w:rPr>
      </w:pPr>
      <w:r w:rsidRPr="00BD4F82">
        <w:rPr>
          <w:rFonts w:ascii="Aptos" w:eastAsia="Swis721 Lt BT" w:hAnsi="Aptos" w:cs="Arial"/>
        </w:rPr>
        <w:lastRenderedPageBreak/>
        <w:t>In addition to the checklist requirements for the applicable review process, the applicant shall provide the following information:</w:t>
      </w:r>
    </w:p>
    <w:p w14:paraId="4817AB66" w14:textId="6858F3D3" w:rsidR="00400E59" w:rsidRPr="00BD4F82" w:rsidRDefault="00170918" w:rsidP="00BD4F82">
      <w:pPr>
        <w:pStyle w:val="ListParagraph"/>
        <w:numPr>
          <w:ilvl w:val="1"/>
          <w:numId w:val="25"/>
        </w:numPr>
        <w:pBdr>
          <w:left w:val="none" w:sz="0" w:space="5" w:color="auto"/>
        </w:pBdr>
        <w:contextualSpacing w:val="0"/>
        <w:rPr>
          <w:rFonts w:ascii="Aptos" w:eastAsia="Swis721 Lt BT" w:hAnsi="Aptos" w:cs="Arial"/>
        </w:rPr>
      </w:pPr>
      <w:r w:rsidRPr="00BD4F82">
        <w:rPr>
          <w:rFonts w:ascii="Aptos" w:eastAsia="Swis721 Lt BT" w:hAnsi="Aptos" w:cs="Arial"/>
        </w:rPr>
        <w:t>The proposed residential density and the square footage of nonresidential uses.</w:t>
      </w:r>
    </w:p>
    <w:p w14:paraId="08D4D737" w14:textId="77777777" w:rsidR="000A7F3B" w:rsidRPr="00BD4F82" w:rsidRDefault="00170918" w:rsidP="00BD4F82">
      <w:pPr>
        <w:numPr>
          <w:ilvl w:val="1"/>
          <w:numId w:val="25"/>
        </w:numPr>
        <w:pBdr>
          <w:left w:val="none" w:sz="0" w:space="5" w:color="auto"/>
        </w:pBdr>
        <w:rPr>
          <w:rFonts w:ascii="Aptos" w:eastAsia="Swis721 Lt BT" w:hAnsi="Aptos" w:cs="Arial"/>
        </w:rPr>
      </w:pPr>
      <w:r w:rsidRPr="00BD4F82">
        <w:rPr>
          <w:rFonts w:ascii="Aptos" w:eastAsia="Swis721 Lt BT" w:hAnsi="Aptos" w:cs="Arial"/>
        </w:rPr>
        <w:t>A floor plan to scale for each building indicating, as applicable, the use of floor space, number of units, number of bedrooms, and the square footage of each unit.</w:t>
      </w:r>
    </w:p>
    <w:p w14:paraId="1A86FB91" w14:textId="1D34ACC6" w:rsidR="000E3E53" w:rsidRPr="00BD4F82" w:rsidRDefault="00170918" w:rsidP="00BD4F82">
      <w:pPr>
        <w:pBdr>
          <w:left w:val="none" w:sz="0" w:space="5" w:color="auto"/>
        </w:pBdr>
        <w:rPr>
          <w:rFonts w:ascii="Aptos" w:eastAsia="Swis721 Lt BT" w:hAnsi="Aptos" w:cs="Arial"/>
          <w:strike/>
          <w:color w:val="C00000"/>
        </w:rPr>
      </w:pPr>
      <w:r w:rsidRPr="00BD4F82">
        <w:rPr>
          <w:rFonts w:ascii="Aptos" w:eastAsia="Swis721 Lt BT" w:hAnsi="Aptos" w:cs="Arial"/>
          <w:strike/>
          <w:color w:val="C00000"/>
        </w:rPr>
        <w:t>Specific and objective provisions</w:t>
      </w:r>
    </w:p>
    <w:p w14:paraId="015EC17C" w14:textId="7E18468C" w:rsidR="000E3E53" w:rsidRPr="00BD4F82" w:rsidRDefault="00170918" w:rsidP="00BD4F82">
      <w:pPr>
        <w:pStyle w:val="ListParagraph"/>
        <w:numPr>
          <w:ilvl w:val="0"/>
          <w:numId w:val="16"/>
        </w:numPr>
        <w:pBdr>
          <w:left w:val="none" w:sz="0" w:space="5" w:color="auto"/>
        </w:pBdr>
        <w:contextualSpacing w:val="0"/>
        <w:rPr>
          <w:rFonts w:ascii="Aptos" w:eastAsia="Swis721 Lt BT" w:hAnsi="Aptos" w:cs="Arial"/>
          <w:strike/>
          <w:color w:val="C00000"/>
        </w:rPr>
      </w:pPr>
      <w:r w:rsidRPr="00BD4F82">
        <w:rPr>
          <w:rFonts w:ascii="Aptos" w:eastAsia="Swis721 Lt BT" w:hAnsi="Aptos" w:cs="Arial"/>
          <w:strike/>
          <w:color w:val="C00000"/>
        </w:rPr>
        <w:t>The specific and objective criteria for adaptive reuse projects are found in the following sections of the regulations [LIST SECTIONS]</w:t>
      </w:r>
    </w:p>
    <w:bookmarkEnd w:id="1"/>
    <w:p w14:paraId="68E5515C" w14:textId="2493C9D5" w:rsidR="00400E59" w:rsidRPr="005C339B" w:rsidRDefault="00400E59" w:rsidP="00BD4F82">
      <w:pPr>
        <w:pBdr>
          <w:left w:val="none" w:sz="0" w:space="8" w:color="auto"/>
        </w:pBdr>
        <w:ind w:left="720"/>
        <w:jc w:val="both"/>
        <w:rPr>
          <w:rFonts w:ascii="Arial" w:eastAsia="Times New Roman" w:hAnsi="Arial" w:cs="Arial"/>
        </w:rPr>
      </w:pPr>
    </w:p>
    <w:sectPr w:rsidR="00400E59" w:rsidRPr="005C339B" w:rsidSect="00BD4F82">
      <w:headerReference w:type="even" r:id="rId8"/>
      <w:headerReference w:type="default" r:id="rId9"/>
      <w:footerReference w:type="even" r:id="rId10"/>
      <w:footerReference w:type="default" r:id="rId11"/>
      <w:headerReference w:type="first" r:id="rId12"/>
      <w:footerReference w:type="first" r:id="rId13"/>
      <w:pgSz w:w="12240" w:h="15840"/>
      <w:pgMar w:top="1800" w:right="1440" w:bottom="2160" w:left="1440"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52C0E" w14:textId="77777777" w:rsidR="00404F87" w:rsidRDefault="00404F87">
      <w:r>
        <w:separator/>
      </w:r>
    </w:p>
  </w:endnote>
  <w:endnote w:type="continuationSeparator" w:id="0">
    <w:p w14:paraId="01D540BE" w14:textId="77777777" w:rsidR="00404F87" w:rsidRDefault="00404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wis721 Lt BT">
    <w:altName w:val="Calibri"/>
    <w:panose1 w:val="020B0604020202020204"/>
    <w:charset w:val="00"/>
    <w:family w:val="swiss"/>
    <w:pitch w:val="variable"/>
    <w:sig w:usb0="00000087" w:usb1="00000000" w:usb2="00000000" w:usb3="00000000" w:csb0="0000001B"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4FFFD" w14:textId="77777777" w:rsidR="00B73D0E" w:rsidRDefault="00B73D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634A2" w14:textId="191A90CA" w:rsidR="00400E59" w:rsidRDefault="00170918" w:rsidP="004B68A3">
    <w:pPr>
      <w:tabs>
        <w:tab w:val="center" w:pos="4680"/>
      </w:tabs>
      <w:jc w:val="center"/>
    </w:pPr>
    <w:r>
      <w:fldChar w:fldCharType="begin"/>
    </w:r>
    <w:r>
      <w:instrText xml:space="preserve"> PAGE   \* MERGEFORMAT </w:instrText>
    </w:r>
    <w:r>
      <w:fldChar w:fldCharType="separate"/>
    </w:r>
    <w:r>
      <w:t>3</w:t>
    </w:r>
    <w:r>
      <w:fldChar w:fldCharType="end"/>
    </w:r>
  </w:p>
  <w:p w14:paraId="395E1CE5" w14:textId="77777777" w:rsidR="00400E59" w:rsidRDefault="00400E5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711D" w14:textId="77777777" w:rsidR="00B73D0E" w:rsidRDefault="00B73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61A92" w14:textId="77777777" w:rsidR="00404F87" w:rsidRDefault="00404F87">
      <w:r>
        <w:separator/>
      </w:r>
    </w:p>
  </w:footnote>
  <w:footnote w:type="continuationSeparator" w:id="0">
    <w:p w14:paraId="3B4E3EE3" w14:textId="77777777" w:rsidR="00404F87" w:rsidRDefault="00404F87">
      <w:r>
        <w:continuationSeparator/>
      </w:r>
    </w:p>
  </w:footnote>
  <w:footnote w:id="1">
    <w:p w14:paraId="14AFB3B9" w14:textId="77777777" w:rsidR="00B22D9E" w:rsidRDefault="00170918" w:rsidP="00BD4F82">
      <w:pPr>
        <w:pStyle w:val="FootnoteText"/>
        <w:spacing w:before="0" w:after="60"/>
      </w:pPr>
      <w:r w:rsidRPr="007E4980">
        <w:rPr>
          <w:rStyle w:val="FootnoteReference"/>
          <w:rFonts w:ascii="Arial" w:hAnsi="Arial" w:cs="Arial"/>
          <w:b/>
          <w:bCs/>
          <w:sz w:val="24"/>
          <w:szCs w:val="24"/>
        </w:rPr>
        <w:footnoteRef/>
      </w:r>
      <w:r w:rsidRPr="007E4980">
        <w:rPr>
          <w:rFonts w:ascii="Arial" w:hAnsi="Arial" w:cs="Arial"/>
        </w:rPr>
        <w:t xml:space="preserve"> </w:t>
      </w:r>
      <w:r>
        <w:t xml:space="preserve">Maximum density may be determined by the municipality when the proposal includes less than 10% LMI units.  We suggest relying on the zoning district (or a similar zoning district where multifamily housing is permitted) and to consider whether public sewer and/or water is provided.  </w:t>
      </w:r>
    </w:p>
  </w:footnote>
  <w:footnote w:id="2">
    <w:p w14:paraId="771BB838" w14:textId="59147E6D" w:rsidR="007F52D2" w:rsidRDefault="00170918" w:rsidP="00BD4F82">
      <w:pPr>
        <w:pStyle w:val="FootnoteText"/>
        <w:spacing w:before="60" w:after="60"/>
      </w:pPr>
      <w:r w:rsidRPr="007E4980">
        <w:rPr>
          <w:rStyle w:val="FootnoteReference"/>
          <w:rFonts w:ascii="Arial" w:hAnsi="Arial" w:cs="Arial"/>
          <w:b/>
          <w:bCs/>
          <w:sz w:val="24"/>
          <w:szCs w:val="24"/>
        </w:rPr>
        <w:footnoteRef/>
      </w:r>
      <w:r>
        <w:t xml:space="preserve"> A local zoning ordinance can allow the expansion of the development beyond the existing building envelope</w:t>
      </w:r>
      <w:r w:rsidR="002A42D0">
        <w:t xml:space="preserve"> (setback, height, and massing requirements). The local ordinance would need to specify under what circumstances it is permitted, to what degree expansion is permitted, and by what mechanism the expansion is reviewed and decided on.</w:t>
      </w:r>
    </w:p>
  </w:footnote>
  <w:footnote w:id="3">
    <w:p w14:paraId="016F891B" w14:textId="65F7CD6B" w:rsidR="002A42D0" w:rsidRDefault="00170918" w:rsidP="00BD4F82">
      <w:pPr>
        <w:pStyle w:val="FootnoteText"/>
        <w:spacing w:before="60" w:after="60"/>
      </w:pPr>
      <w:r w:rsidRPr="007E4980">
        <w:rPr>
          <w:rStyle w:val="FootnoteReference"/>
          <w:rFonts w:ascii="Arial" w:hAnsi="Arial" w:cs="Arial"/>
          <w:b/>
          <w:bCs/>
          <w:sz w:val="24"/>
          <w:szCs w:val="24"/>
        </w:rPr>
        <w:footnoteRef/>
      </w:r>
      <w:r>
        <w:t xml:space="preserve"> The law prohibits a municipality from requiring more than one off-street parking space for the first two bedrooms of any dwelling unit and no more than one off street parking space for any additional bedroom beyond the second bedroom in any dwelling unit. The municipality can require less than this with specific language in the local ordinance.</w:t>
      </w:r>
    </w:p>
  </w:footnote>
  <w:footnote w:id="4">
    <w:p w14:paraId="6E89DD65" w14:textId="77777777" w:rsidR="00400E59" w:rsidRDefault="00170918" w:rsidP="00BD4F82">
      <w:pPr>
        <w:spacing w:before="0" w:after="60"/>
        <w:jc w:val="both"/>
        <w:rPr>
          <w:color w:val="000000"/>
          <w:sz w:val="20"/>
          <w:szCs w:val="20"/>
          <w:vertAlign w:val="superscript"/>
        </w:rPr>
      </w:pPr>
      <w:r w:rsidRPr="007E4980">
        <w:rPr>
          <w:rStyle w:val="FootnoteReference"/>
          <w:rFonts w:ascii="Arial" w:hAnsi="Arial" w:cs="Arial"/>
          <w:b/>
          <w:bCs/>
          <w:color w:val="000000"/>
          <w:sz w:val="24"/>
          <w:szCs w:val="24"/>
        </w:rPr>
        <w:footnoteRef/>
      </w:r>
      <w:r w:rsidRPr="007E4980">
        <w:rPr>
          <w:rFonts w:ascii="Arial" w:hAnsi="Arial" w:cs="Arial"/>
          <w:sz w:val="20"/>
          <w:szCs w:val="20"/>
        </w:rPr>
        <w:t xml:space="preserve"> </w:t>
      </w:r>
      <w:r>
        <w:rPr>
          <w:sz w:val="20"/>
          <w:szCs w:val="20"/>
        </w:rPr>
        <w:t>Municipalities should determine if they want to permit commercial and/or retail uses in adaptive reuse projects that would not typically be permitted in the zoning district in which the structure is located. Any allowance for such nonresidential uses needs to be specifically permitted in the ordinance or the zoning district provisions of the use table for that zone will prevail.</w:t>
      </w:r>
    </w:p>
  </w:footnote>
  <w:footnote w:id="5">
    <w:p w14:paraId="7C94649D" w14:textId="77777777" w:rsidR="005C339B" w:rsidRDefault="005C339B" w:rsidP="00BD4F82">
      <w:pPr>
        <w:pStyle w:val="FootnoteText"/>
        <w:spacing w:before="60" w:after="60"/>
      </w:pPr>
      <w:r w:rsidRPr="007E4980">
        <w:rPr>
          <w:rStyle w:val="FootnoteReference"/>
          <w:rFonts w:ascii="Arial" w:hAnsi="Arial" w:cs="Arial"/>
          <w:b/>
          <w:bCs/>
          <w:sz w:val="24"/>
          <w:szCs w:val="24"/>
        </w:rPr>
        <w:footnoteRef/>
      </w:r>
      <w:r w:rsidRPr="005C339B">
        <w:rPr>
          <w:b/>
          <w:bCs/>
          <w:sz w:val="24"/>
          <w:szCs w:val="24"/>
        </w:rPr>
        <w:t xml:space="preserve"> </w:t>
      </w:r>
      <w:r>
        <w:t xml:space="preserve">Co-living housing is authorized by H-5797A and is a discretionary provision.  </w:t>
      </w:r>
    </w:p>
  </w:footnote>
  <w:footnote w:id="6">
    <w:p w14:paraId="329988B0" w14:textId="4EA8F24D" w:rsidR="000A7F3B" w:rsidRDefault="00170918" w:rsidP="00BD4F82">
      <w:pPr>
        <w:pStyle w:val="FootnoteText"/>
        <w:spacing w:before="60" w:after="60"/>
      </w:pPr>
      <w:r w:rsidRPr="007E4980">
        <w:rPr>
          <w:rStyle w:val="FootnoteReference"/>
          <w:rFonts w:ascii="Arial" w:hAnsi="Arial" w:cs="Arial"/>
          <w:b/>
          <w:bCs/>
          <w:sz w:val="24"/>
          <w:szCs w:val="24"/>
        </w:rPr>
        <w:footnoteRef/>
      </w:r>
      <w:r>
        <w:t xml:space="preserve"> Specific and objective provisions are required to be within the zoning ordinance per §45-24-37(h)(1). Municipalities should consult with their solicitor to determine if a reference to the regulations will satisfy this requirement</w:t>
      </w:r>
      <w:r w:rsidR="00222F97">
        <w:t xml:space="preserve"> or alternative provisions may be inserted here</w:t>
      </w:r>
      <w:r>
        <w:t>.</w:t>
      </w:r>
    </w:p>
  </w:footnote>
  <w:footnote w:id="7">
    <w:p w14:paraId="1B929FBD" w14:textId="1E3A4257" w:rsidR="000A7F3B" w:rsidRDefault="00170918" w:rsidP="00BD4F82">
      <w:pPr>
        <w:pStyle w:val="FootnoteText"/>
        <w:spacing w:before="60" w:after="60"/>
      </w:pPr>
      <w:r w:rsidRPr="007E4980">
        <w:rPr>
          <w:rStyle w:val="FootnoteReference"/>
          <w:rFonts w:ascii="Arial" w:hAnsi="Arial" w:cs="Arial"/>
          <w:b/>
          <w:bCs/>
          <w:sz w:val="24"/>
          <w:szCs w:val="24"/>
        </w:rPr>
        <w:footnoteRef/>
      </w:r>
      <w:r>
        <w:t xml:space="preserve"> The definitions of minor land development and development plan review include references to maximum density and/or gross floor area, supporting that </w:t>
      </w:r>
      <w:r w:rsidRPr="005C339B">
        <w:t>projects above these thresholds are major land development projects.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05A3" w14:textId="77777777" w:rsidR="00B73D0E" w:rsidRDefault="00B73D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C8AA" w14:textId="3A444D5D" w:rsidR="00400E59" w:rsidRPr="00B73D0E" w:rsidRDefault="00B73D0E" w:rsidP="00BD4F82">
    <w:pPr>
      <w:tabs>
        <w:tab w:val="center" w:pos="4680"/>
        <w:tab w:val="right" w:pos="9360"/>
      </w:tabs>
      <w:spacing w:before="0" w:after="0"/>
      <w:rPr>
        <w:rFonts w:asciiTheme="majorHAnsi" w:hAnsiTheme="majorHAnsi" w:cstheme="majorHAnsi"/>
        <w:b/>
        <w:bCs/>
        <w:sz w:val="20"/>
        <w:szCs w:val="20"/>
      </w:rPr>
    </w:pPr>
    <w:r w:rsidRPr="00B73D0E">
      <w:rPr>
        <w:rFonts w:ascii="Swis721 Lt BT" w:eastAsia="Times New Roman" w:hAnsi="Swis721 Lt BT"/>
        <w:b/>
        <w:bCs/>
        <w:noProof/>
        <w:sz w:val="26"/>
        <w:szCs w:val="24"/>
      </w:rPr>
      <w:drawing>
        <wp:anchor distT="0" distB="0" distL="114300" distR="114300" simplePos="0" relativeHeight="251659264" behindDoc="0" locked="0" layoutInCell="1" allowOverlap="1" wp14:anchorId="6958C40C" wp14:editId="1E202667">
          <wp:simplePos x="0" y="0"/>
          <wp:positionH relativeFrom="column">
            <wp:posOffset>0</wp:posOffset>
          </wp:positionH>
          <wp:positionV relativeFrom="paragraph">
            <wp:posOffset>-189128</wp:posOffset>
          </wp:positionV>
          <wp:extent cx="1892080" cy="869950"/>
          <wp:effectExtent l="0" t="0" r="635" b="0"/>
          <wp:wrapSquare wrapText="bothSides"/>
          <wp:docPr id="2033964330" name="Picture 203396433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34839"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1" r="4811" b="-9277"/>
                  <a:stretch/>
                </pic:blipFill>
                <pic:spPr bwMode="auto">
                  <a:xfrm>
                    <a:off x="0" y="0"/>
                    <a:ext cx="1892080" cy="869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70918" w:rsidRPr="00B73D0E">
      <w:rPr>
        <w:rFonts w:asciiTheme="majorHAnsi" w:hAnsiTheme="majorHAnsi" w:cstheme="majorHAnsi"/>
        <w:b/>
        <w:bCs/>
        <w:sz w:val="20"/>
        <w:szCs w:val="20"/>
      </w:rPr>
      <w:t>Zoning Ordinance</w:t>
    </w:r>
    <w:r w:rsidR="00170918" w:rsidRPr="00B73D0E">
      <w:rPr>
        <w:rFonts w:asciiTheme="majorHAnsi" w:hAnsiTheme="majorHAnsi" w:cstheme="majorHAnsi"/>
        <w:b/>
        <w:bCs/>
        <w:sz w:val="20"/>
        <w:szCs w:val="20"/>
      </w:rPr>
      <w:tab/>
    </w:r>
    <w:r w:rsidR="00170918" w:rsidRPr="00B73D0E">
      <w:rPr>
        <w:rFonts w:asciiTheme="majorHAnsi" w:hAnsiTheme="majorHAnsi" w:cstheme="majorHAnsi"/>
        <w:b/>
        <w:bCs/>
        <w:sz w:val="20"/>
        <w:szCs w:val="20"/>
      </w:rPr>
      <w:tab/>
    </w:r>
    <w:r w:rsidR="008732BD" w:rsidRPr="00B73D0E">
      <w:rPr>
        <w:rFonts w:asciiTheme="majorHAnsi" w:hAnsiTheme="majorHAnsi" w:cstheme="majorHAnsi"/>
        <w:b/>
        <w:bCs/>
        <w:sz w:val="20"/>
        <w:szCs w:val="20"/>
      </w:rPr>
      <w:t>02</w:t>
    </w:r>
    <w:r w:rsidR="007F48DE" w:rsidRPr="00B73D0E">
      <w:rPr>
        <w:rFonts w:asciiTheme="majorHAnsi" w:hAnsiTheme="majorHAnsi" w:cstheme="majorHAnsi"/>
        <w:b/>
        <w:bCs/>
        <w:sz w:val="20"/>
        <w:szCs w:val="20"/>
      </w:rPr>
      <w:t>/</w:t>
    </w:r>
    <w:r w:rsidR="008732BD" w:rsidRPr="00B73D0E">
      <w:rPr>
        <w:rFonts w:asciiTheme="majorHAnsi" w:hAnsiTheme="majorHAnsi" w:cstheme="majorHAnsi"/>
        <w:b/>
        <w:bCs/>
        <w:sz w:val="20"/>
        <w:szCs w:val="20"/>
      </w:rPr>
      <w:t>09</w:t>
    </w:r>
    <w:r w:rsidR="007F48DE" w:rsidRPr="00B73D0E">
      <w:rPr>
        <w:rFonts w:asciiTheme="majorHAnsi" w:hAnsiTheme="majorHAnsi" w:cstheme="majorHAnsi"/>
        <w:b/>
        <w:bCs/>
        <w:sz w:val="20"/>
        <w:szCs w:val="20"/>
      </w:rPr>
      <w:t>/26</w:t>
    </w:r>
  </w:p>
  <w:p w14:paraId="663E1465" w14:textId="1BF2BEDE" w:rsidR="00400E59" w:rsidRPr="00B73D0E" w:rsidRDefault="00170918" w:rsidP="00BD4F82">
    <w:pPr>
      <w:pStyle w:val="Header"/>
      <w:spacing w:before="0" w:after="0"/>
      <w:rPr>
        <w:rFonts w:asciiTheme="majorHAnsi" w:hAnsiTheme="majorHAnsi" w:cstheme="majorHAnsi"/>
        <w:b/>
        <w:bCs/>
        <w:sz w:val="20"/>
        <w:szCs w:val="20"/>
      </w:rPr>
    </w:pPr>
    <w:bookmarkStart w:id="2" w:name="_Hlk218515760"/>
    <w:bookmarkStart w:id="3" w:name="_Hlk218604118"/>
    <w:r w:rsidRPr="00B73D0E">
      <w:rPr>
        <w:rFonts w:asciiTheme="majorHAnsi" w:hAnsiTheme="majorHAnsi" w:cstheme="majorHAnsi"/>
        <w:b/>
        <w:bCs/>
        <w:sz w:val="20"/>
        <w:szCs w:val="20"/>
      </w:rPr>
      <w:t>H 5794B, S 1086 Aaa</w:t>
    </w:r>
    <w:bookmarkEnd w:id="2"/>
    <w:bookmarkEnd w:id="3"/>
  </w:p>
  <w:p w14:paraId="76A16398" w14:textId="25CAA3D1" w:rsidR="00400E59" w:rsidRPr="00B73D0E" w:rsidRDefault="00170918" w:rsidP="00BD4F82">
    <w:pPr>
      <w:spacing w:before="0" w:after="0"/>
      <w:rPr>
        <w:rFonts w:asciiTheme="majorHAnsi" w:hAnsiTheme="majorHAnsi" w:cstheme="majorHAnsi"/>
        <w:b/>
        <w:bCs/>
        <w:sz w:val="20"/>
        <w:szCs w:val="20"/>
      </w:rPr>
    </w:pPr>
    <w:r w:rsidRPr="00B73D0E">
      <w:rPr>
        <w:rFonts w:asciiTheme="majorHAnsi" w:hAnsiTheme="majorHAnsi" w:cstheme="majorHAnsi"/>
        <w:b/>
        <w:bCs/>
        <w:sz w:val="20"/>
        <w:szCs w:val="20"/>
      </w:rPr>
      <w:t>Adaptive Reuse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2D60D" w14:textId="77777777" w:rsidR="00B73D0E" w:rsidRDefault="00B73D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0" w:firstLine="0"/>
      </w:pPr>
      <w:rPr>
        <w:rFonts w:ascii="Swis721 Lt BT" w:eastAsia="Swis721 Lt BT" w:hAnsi="Swis721 Lt BT" w:cs="Swis721 Lt BT"/>
        <w:b w:val="0"/>
        <w:bCs w:val="0"/>
        <w:sz w:val="20"/>
        <w:szCs w:val="20"/>
      </w:rPr>
    </w:lvl>
    <w:lvl w:ilvl="1">
      <w:start w:val="1"/>
      <w:numFmt w:val="decimal"/>
      <w:lvlText w:val="%1.%2."/>
      <w:lvlJc w:val="left"/>
      <w:pPr>
        <w:ind w:left="1440" w:firstLine="0"/>
      </w:pPr>
      <w:rPr>
        <w:rFonts w:ascii="Swis721 Lt BT" w:eastAsia="Swis721 Lt BT" w:hAnsi="Swis721 Lt BT" w:cs="Swis721 Lt BT"/>
        <w:i/>
        <w:iCs/>
        <w:sz w:val="20"/>
        <w:szCs w:val="2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multilevel"/>
    <w:tmpl w:val="399EBEC0"/>
    <w:lvl w:ilvl="0">
      <w:start w:val="1"/>
      <w:numFmt w:val="lowerLetter"/>
      <w:lvlText w:val="%1."/>
      <w:lvlJc w:val="left"/>
      <w:pPr>
        <w:ind w:left="720" w:hanging="360"/>
      </w:pPr>
      <w:rPr>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85D4B6E4"/>
    <w:lvl w:ilvl="0">
      <w:start w:val="1"/>
      <w:numFmt w:val="decimal"/>
      <w:lvlText w:val="%1."/>
      <w:lvlJc w:val="left"/>
      <w:pPr>
        <w:ind w:left="1080" w:hanging="360"/>
      </w:pPr>
      <w:rPr>
        <w:strike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0000004"/>
    <w:multiLevelType w:val="multilevel"/>
    <w:tmpl w:val="00000004"/>
    <w:lvl w:ilvl="0">
      <w:start w:val="3"/>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decimal"/>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99B2BF1A"/>
    <w:lvl w:ilvl="0">
      <w:start w:val="4"/>
      <w:numFmt w:val="lowerLetter"/>
      <w:lvlText w:val="%1."/>
      <w:lvlJc w:val="left"/>
      <w:pPr>
        <w:ind w:left="720" w:hanging="360"/>
      </w:pPr>
      <w:rPr>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lvlText w:val="%1."/>
      <w:lvlJc w:val="left"/>
      <w:pPr>
        <w:ind w:left="1442" w:hanging="360"/>
      </w:pPr>
    </w:lvl>
    <w:lvl w:ilvl="1">
      <w:start w:val="1"/>
      <w:numFmt w:val="lowerRoman"/>
      <w:lvlText w:val="%2."/>
      <w:lvlJc w:val="left"/>
      <w:pPr>
        <w:ind w:left="2162" w:hanging="360"/>
      </w:pPr>
    </w:lvl>
    <w:lvl w:ilvl="2">
      <w:start w:val="1"/>
      <w:numFmt w:val="lowerRoman"/>
      <w:lvlText w:val="%3."/>
      <w:lvlJc w:val="right"/>
      <w:pPr>
        <w:tabs>
          <w:tab w:val="num" w:pos="2882"/>
        </w:tabs>
        <w:ind w:left="2882" w:hanging="180"/>
      </w:pPr>
    </w:lvl>
    <w:lvl w:ilvl="3">
      <w:start w:val="1"/>
      <w:numFmt w:val="decimal"/>
      <w:lvlText w:val="%4."/>
      <w:lvlJc w:val="left"/>
      <w:pPr>
        <w:tabs>
          <w:tab w:val="num" w:pos="3602"/>
        </w:tabs>
        <w:ind w:left="3602" w:hanging="360"/>
      </w:pPr>
    </w:lvl>
    <w:lvl w:ilvl="4">
      <w:start w:val="1"/>
      <w:numFmt w:val="lowerLetter"/>
      <w:lvlText w:val="%5."/>
      <w:lvlJc w:val="left"/>
      <w:pPr>
        <w:tabs>
          <w:tab w:val="num" w:pos="4322"/>
        </w:tabs>
        <w:ind w:left="4322" w:hanging="360"/>
      </w:pPr>
    </w:lvl>
    <w:lvl w:ilvl="5">
      <w:start w:val="1"/>
      <w:numFmt w:val="lowerRoman"/>
      <w:lvlText w:val="%6."/>
      <w:lvlJc w:val="right"/>
      <w:pPr>
        <w:tabs>
          <w:tab w:val="num" w:pos="5042"/>
        </w:tabs>
        <w:ind w:left="5042" w:hanging="180"/>
      </w:pPr>
    </w:lvl>
    <w:lvl w:ilvl="6">
      <w:start w:val="1"/>
      <w:numFmt w:val="decimal"/>
      <w:lvlText w:val="%7."/>
      <w:lvlJc w:val="left"/>
      <w:pPr>
        <w:tabs>
          <w:tab w:val="num" w:pos="5762"/>
        </w:tabs>
        <w:ind w:left="5762" w:hanging="360"/>
      </w:pPr>
    </w:lvl>
    <w:lvl w:ilvl="7">
      <w:start w:val="1"/>
      <w:numFmt w:val="lowerLetter"/>
      <w:lvlText w:val="%8."/>
      <w:lvlJc w:val="left"/>
      <w:pPr>
        <w:tabs>
          <w:tab w:val="num" w:pos="6482"/>
        </w:tabs>
        <w:ind w:left="6482" w:hanging="360"/>
      </w:pPr>
    </w:lvl>
    <w:lvl w:ilvl="8">
      <w:start w:val="1"/>
      <w:numFmt w:val="lowerRoman"/>
      <w:lvlText w:val="%9."/>
      <w:lvlJc w:val="right"/>
      <w:pPr>
        <w:tabs>
          <w:tab w:val="num" w:pos="7202"/>
        </w:tabs>
        <w:ind w:left="7202" w:hanging="180"/>
      </w:pPr>
    </w:lvl>
  </w:abstractNum>
  <w:abstractNum w:abstractNumId="7" w15:restartNumberingAfterBreak="0">
    <w:nsid w:val="00000008"/>
    <w:multiLevelType w:val="multilevel"/>
    <w:tmpl w:val="00000008"/>
    <w:lvl w:ilvl="0">
      <w:start w:val="5"/>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decimal"/>
      <w:lvlText w:val="%1."/>
      <w:lvlJc w:val="left"/>
      <w:pPr>
        <w:ind w:left="153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3DE03424"/>
    <w:lvl w:ilvl="0">
      <w:start w:val="7"/>
      <w:numFmt w:val="lowerLetter"/>
      <w:lvlText w:val="%1."/>
      <w:lvlJc w:val="left"/>
      <w:pPr>
        <w:ind w:left="720" w:hanging="360"/>
      </w:pPr>
      <w:rPr>
        <w:rFonts w:hint="default"/>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0000000B"/>
    <w:multiLevelType w:val="multilevel"/>
    <w:tmpl w:val="000000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lvl>
    <w:lvl w:ilvl="1">
      <w:start w:val="2"/>
      <w:numFmt w:val="decimal"/>
      <w:lvlText w:val="%1.%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1"/>
      <w:numFmt w:val="decimal"/>
      <w:lvlText w:val=""/>
      <w:lvlJc w:val="left"/>
      <w:pPr>
        <w:tabs>
          <w:tab w:val="num" w:pos="720"/>
        </w:tabs>
        <w:ind w:left="720" w:hanging="360"/>
      </w:pPr>
      <w:rPr>
        <w:rFonts w:ascii="Symbol" w:hAnsi="Symbol"/>
      </w:rPr>
    </w:lvl>
    <w:lvl w:ilvl="1">
      <w:start w:val="3"/>
      <w:numFmt w:val="decimal"/>
      <w:lvlText w:val="%1.%2"/>
      <w:lvlJc w:val="left"/>
      <w:pPr>
        <w:ind w:left="0" w:firstLine="0"/>
      </w:pPr>
      <w:rPr>
        <w:rFonts w:ascii="Swis721 Lt BT" w:eastAsia="Swis721 Lt BT" w:hAnsi="Swis721 Lt BT" w:cs="Swis721 Lt BT"/>
        <w:b w:val="0"/>
        <w:bCs w:val="0"/>
        <w:i/>
        <w:iCs/>
        <w:sz w:val="20"/>
        <w:szCs w:val="2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multilevel"/>
    <w:tmpl w:val="CEB0E762"/>
    <w:lvl w:ilvl="0">
      <w:start w:val="1"/>
      <w:numFmt w:val="decimal"/>
      <w:lvlText w:val="%1."/>
      <w:lvlJc w:val="left"/>
      <w:pPr>
        <w:ind w:left="1440" w:hanging="360"/>
      </w:pPr>
      <w:rPr>
        <w:rFonts w:ascii="Swis721 Lt BT" w:eastAsia="Swis721 Lt BT" w:hAnsi="Swis721 Lt BT" w:cs="Swis721 Lt BT"/>
      </w:rPr>
    </w:lvl>
    <w:lvl w:ilvl="1">
      <w:start w:val="1"/>
      <w:numFmt w:val="lowerLetter"/>
      <w:lvlText w:val="%2."/>
      <w:lvlJc w:val="left"/>
      <w:pPr>
        <w:ind w:left="2160" w:hanging="360"/>
      </w:pPr>
      <w:rPr>
        <w:rFonts w:ascii="Swis721 Lt BT" w:eastAsia="Swis721 Lt BT" w:hAnsi="Swis721 Lt BT" w:cs="Swis721 Lt B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4" w15:restartNumberingAfterBreak="0">
    <w:nsid w:val="0000000F"/>
    <w:multiLevelType w:val="hybridMultilevel"/>
    <w:tmpl w:val="0000000F"/>
    <w:lvl w:ilvl="0" w:tplc="97CCE04C">
      <w:start w:val="1"/>
      <w:numFmt w:val="bullet"/>
      <w:lvlText w:val=""/>
      <w:lvlJc w:val="left"/>
      <w:pPr>
        <w:ind w:left="720" w:hanging="360"/>
      </w:pPr>
      <w:rPr>
        <w:rFonts w:ascii="Symbol" w:hAnsi="Symbol"/>
        <w:b w:val="0"/>
        <w:bCs w:val="0"/>
      </w:rPr>
    </w:lvl>
    <w:lvl w:ilvl="1" w:tplc="8594FA9A">
      <w:start w:val="1"/>
      <w:numFmt w:val="bullet"/>
      <w:lvlText w:val="o"/>
      <w:lvlJc w:val="left"/>
      <w:pPr>
        <w:tabs>
          <w:tab w:val="num" w:pos="1440"/>
        </w:tabs>
        <w:ind w:left="1440" w:hanging="360"/>
      </w:pPr>
      <w:rPr>
        <w:rFonts w:ascii="Courier New" w:hAnsi="Courier New"/>
      </w:rPr>
    </w:lvl>
    <w:lvl w:ilvl="2" w:tplc="763A0662">
      <w:start w:val="1"/>
      <w:numFmt w:val="bullet"/>
      <w:lvlText w:val=""/>
      <w:lvlJc w:val="left"/>
      <w:pPr>
        <w:tabs>
          <w:tab w:val="num" w:pos="2160"/>
        </w:tabs>
        <w:ind w:left="2160" w:hanging="360"/>
      </w:pPr>
      <w:rPr>
        <w:rFonts w:ascii="Wingdings" w:hAnsi="Wingdings"/>
      </w:rPr>
    </w:lvl>
    <w:lvl w:ilvl="3" w:tplc="1BF4BF7E">
      <w:start w:val="1"/>
      <w:numFmt w:val="bullet"/>
      <w:lvlText w:val=""/>
      <w:lvlJc w:val="left"/>
      <w:pPr>
        <w:tabs>
          <w:tab w:val="num" w:pos="2880"/>
        </w:tabs>
        <w:ind w:left="2880" w:hanging="360"/>
      </w:pPr>
      <w:rPr>
        <w:rFonts w:ascii="Symbol" w:hAnsi="Symbol"/>
      </w:rPr>
    </w:lvl>
    <w:lvl w:ilvl="4" w:tplc="F942201E">
      <w:start w:val="1"/>
      <w:numFmt w:val="bullet"/>
      <w:lvlText w:val="o"/>
      <w:lvlJc w:val="left"/>
      <w:pPr>
        <w:tabs>
          <w:tab w:val="num" w:pos="3600"/>
        </w:tabs>
        <w:ind w:left="3600" w:hanging="360"/>
      </w:pPr>
      <w:rPr>
        <w:rFonts w:ascii="Courier New" w:hAnsi="Courier New"/>
      </w:rPr>
    </w:lvl>
    <w:lvl w:ilvl="5" w:tplc="9BDE3FFA">
      <w:start w:val="1"/>
      <w:numFmt w:val="bullet"/>
      <w:lvlText w:val=""/>
      <w:lvlJc w:val="left"/>
      <w:pPr>
        <w:tabs>
          <w:tab w:val="num" w:pos="4320"/>
        </w:tabs>
        <w:ind w:left="4320" w:hanging="360"/>
      </w:pPr>
      <w:rPr>
        <w:rFonts w:ascii="Wingdings" w:hAnsi="Wingdings"/>
      </w:rPr>
    </w:lvl>
    <w:lvl w:ilvl="6" w:tplc="D8C6D5AE">
      <w:start w:val="1"/>
      <w:numFmt w:val="bullet"/>
      <w:lvlText w:val=""/>
      <w:lvlJc w:val="left"/>
      <w:pPr>
        <w:tabs>
          <w:tab w:val="num" w:pos="5040"/>
        </w:tabs>
        <w:ind w:left="5040" w:hanging="360"/>
      </w:pPr>
      <w:rPr>
        <w:rFonts w:ascii="Symbol" w:hAnsi="Symbol"/>
      </w:rPr>
    </w:lvl>
    <w:lvl w:ilvl="7" w:tplc="04741662">
      <w:start w:val="1"/>
      <w:numFmt w:val="bullet"/>
      <w:lvlText w:val="o"/>
      <w:lvlJc w:val="left"/>
      <w:pPr>
        <w:tabs>
          <w:tab w:val="num" w:pos="5760"/>
        </w:tabs>
        <w:ind w:left="5760" w:hanging="360"/>
      </w:pPr>
      <w:rPr>
        <w:rFonts w:ascii="Courier New" w:hAnsi="Courier New"/>
      </w:rPr>
    </w:lvl>
    <w:lvl w:ilvl="8" w:tplc="24FE718E">
      <w:start w:val="1"/>
      <w:numFmt w:val="bullet"/>
      <w:lvlText w:val=""/>
      <w:lvlJc w:val="left"/>
      <w:pPr>
        <w:tabs>
          <w:tab w:val="num" w:pos="6480"/>
        </w:tabs>
        <w:ind w:left="6480" w:hanging="360"/>
      </w:pPr>
      <w:rPr>
        <w:rFonts w:ascii="Wingdings" w:hAnsi="Wingdings"/>
      </w:rPr>
    </w:lvl>
  </w:abstractNum>
  <w:abstractNum w:abstractNumId="15" w15:restartNumberingAfterBreak="0">
    <w:nsid w:val="006C5C8C"/>
    <w:multiLevelType w:val="multilevel"/>
    <w:tmpl w:val="D2022BD0"/>
    <w:lvl w:ilvl="0">
      <w:start w:val="1"/>
      <w:numFmt w:val="upperLetter"/>
      <w:lvlText w:val="%1."/>
      <w:lvlJc w:val="left"/>
      <w:pPr>
        <w:ind w:left="720" w:hanging="360"/>
      </w:pPr>
      <w:rPr>
        <w:rFonts w:hint="default"/>
        <w:strike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25B2AC7"/>
    <w:multiLevelType w:val="multilevel"/>
    <w:tmpl w:val="D2022BD0"/>
    <w:lvl w:ilvl="0">
      <w:start w:val="1"/>
      <w:numFmt w:val="upperLetter"/>
      <w:lvlText w:val="%1."/>
      <w:lvlJc w:val="left"/>
      <w:pPr>
        <w:ind w:left="720" w:hanging="360"/>
      </w:pPr>
      <w:rPr>
        <w:rFonts w:hint="default"/>
        <w:strike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5DD5A33"/>
    <w:multiLevelType w:val="multilevel"/>
    <w:tmpl w:val="D2022BD0"/>
    <w:lvl w:ilvl="0">
      <w:start w:val="1"/>
      <w:numFmt w:val="upperLetter"/>
      <w:lvlText w:val="%1."/>
      <w:lvlJc w:val="left"/>
      <w:pPr>
        <w:ind w:left="720" w:hanging="360"/>
      </w:pPr>
      <w:rPr>
        <w:rFonts w:hint="default"/>
        <w:strike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28271A43"/>
    <w:multiLevelType w:val="hybridMultilevel"/>
    <w:tmpl w:val="FBB4B3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CCC3E23"/>
    <w:multiLevelType w:val="multilevel"/>
    <w:tmpl w:val="D2022BD0"/>
    <w:lvl w:ilvl="0">
      <w:start w:val="1"/>
      <w:numFmt w:val="upperLetter"/>
      <w:lvlText w:val="%1."/>
      <w:lvlJc w:val="left"/>
      <w:pPr>
        <w:ind w:left="720" w:hanging="360"/>
      </w:pPr>
      <w:rPr>
        <w:rFonts w:hint="default"/>
        <w:strike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41301113"/>
    <w:multiLevelType w:val="multilevel"/>
    <w:tmpl w:val="D2022BD0"/>
    <w:lvl w:ilvl="0">
      <w:start w:val="1"/>
      <w:numFmt w:val="upperLetter"/>
      <w:lvlText w:val="%1."/>
      <w:lvlJc w:val="left"/>
      <w:pPr>
        <w:ind w:left="720" w:hanging="360"/>
      </w:pPr>
      <w:rPr>
        <w:rFonts w:hint="default"/>
        <w:strike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4A63716E"/>
    <w:multiLevelType w:val="hybridMultilevel"/>
    <w:tmpl w:val="980A2E0C"/>
    <w:lvl w:ilvl="0" w:tplc="CD5A7876">
      <w:start w:val="1"/>
      <w:numFmt w:val="bullet"/>
      <w:lvlText w:val=""/>
      <w:lvlJc w:val="left"/>
      <w:pPr>
        <w:ind w:left="720" w:hanging="360"/>
      </w:pPr>
      <w:rPr>
        <w:rFonts w:ascii="Symbol" w:hAnsi="Symbol"/>
      </w:rPr>
    </w:lvl>
    <w:lvl w:ilvl="1" w:tplc="EC541B94">
      <w:start w:val="1"/>
      <w:numFmt w:val="bullet"/>
      <w:lvlText w:val=""/>
      <w:lvlJc w:val="left"/>
      <w:pPr>
        <w:ind w:left="720" w:hanging="360"/>
      </w:pPr>
      <w:rPr>
        <w:rFonts w:ascii="Symbol" w:hAnsi="Symbol"/>
      </w:rPr>
    </w:lvl>
    <w:lvl w:ilvl="2" w:tplc="607CDC2A">
      <w:start w:val="1"/>
      <w:numFmt w:val="bullet"/>
      <w:lvlText w:val=""/>
      <w:lvlJc w:val="left"/>
      <w:pPr>
        <w:ind w:left="720" w:hanging="360"/>
      </w:pPr>
      <w:rPr>
        <w:rFonts w:ascii="Symbol" w:hAnsi="Symbol"/>
      </w:rPr>
    </w:lvl>
    <w:lvl w:ilvl="3" w:tplc="EDBCFE38">
      <w:start w:val="1"/>
      <w:numFmt w:val="bullet"/>
      <w:lvlText w:val=""/>
      <w:lvlJc w:val="left"/>
      <w:pPr>
        <w:ind w:left="720" w:hanging="360"/>
      </w:pPr>
      <w:rPr>
        <w:rFonts w:ascii="Symbol" w:hAnsi="Symbol"/>
      </w:rPr>
    </w:lvl>
    <w:lvl w:ilvl="4" w:tplc="3600F28C">
      <w:start w:val="1"/>
      <w:numFmt w:val="bullet"/>
      <w:lvlText w:val=""/>
      <w:lvlJc w:val="left"/>
      <w:pPr>
        <w:ind w:left="720" w:hanging="360"/>
      </w:pPr>
      <w:rPr>
        <w:rFonts w:ascii="Symbol" w:hAnsi="Symbol"/>
      </w:rPr>
    </w:lvl>
    <w:lvl w:ilvl="5" w:tplc="9222B6AC">
      <w:start w:val="1"/>
      <w:numFmt w:val="bullet"/>
      <w:lvlText w:val=""/>
      <w:lvlJc w:val="left"/>
      <w:pPr>
        <w:ind w:left="720" w:hanging="360"/>
      </w:pPr>
      <w:rPr>
        <w:rFonts w:ascii="Symbol" w:hAnsi="Symbol"/>
      </w:rPr>
    </w:lvl>
    <w:lvl w:ilvl="6" w:tplc="7D44140A">
      <w:start w:val="1"/>
      <w:numFmt w:val="bullet"/>
      <w:lvlText w:val=""/>
      <w:lvlJc w:val="left"/>
      <w:pPr>
        <w:ind w:left="720" w:hanging="360"/>
      </w:pPr>
      <w:rPr>
        <w:rFonts w:ascii="Symbol" w:hAnsi="Symbol"/>
      </w:rPr>
    </w:lvl>
    <w:lvl w:ilvl="7" w:tplc="2C10B5A4">
      <w:start w:val="1"/>
      <w:numFmt w:val="bullet"/>
      <w:lvlText w:val=""/>
      <w:lvlJc w:val="left"/>
      <w:pPr>
        <w:ind w:left="720" w:hanging="360"/>
      </w:pPr>
      <w:rPr>
        <w:rFonts w:ascii="Symbol" w:hAnsi="Symbol"/>
      </w:rPr>
    </w:lvl>
    <w:lvl w:ilvl="8" w:tplc="FA785EAC">
      <w:start w:val="1"/>
      <w:numFmt w:val="bullet"/>
      <w:lvlText w:val=""/>
      <w:lvlJc w:val="left"/>
      <w:pPr>
        <w:ind w:left="720" w:hanging="360"/>
      </w:pPr>
      <w:rPr>
        <w:rFonts w:ascii="Symbol" w:hAnsi="Symbol"/>
      </w:rPr>
    </w:lvl>
  </w:abstractNum>
  <w:abstractNum w:abstractNumId="22" w15:restartNumberingAfterBreak="0">
    <w:nsid w:val="4D200FC3"/>
    <w:multiLevelType w:val="hybridMultilevel"/>
    <w:tmpl w:val="C4C2BF9A"/>
    <w:lvl w:ilvl="0" w:tplc="18885990">
      <w:start w:val="1"/>
      <w:numFmt w:val="bullet"/>
      <w:lvlText w:val=""/>
      <w:lvlJc w:val="left"/>
      <w:pPr>
        <w:ind w:left="720" w:hanging="360"/>
      </w:pPr>
      <w:rPr>
        <w:rFonts w:ascii="Symbol" w:hAnsi="Symbol"/>
      </w:rPr>
    </w:lvl>
    <w:lvl w:ilvl="1" w:tplc="6D84BD66">
      <w:start w:val="1"/>
      <w:numFmt w:val="bullet"/>
      <w:lvlText w:val=""/>
      <w:lvlJc w:val="left"/>
      <w:pPr>
        <w:ind w:left="720" w:hanging="360"/>
      </w:pPr>
      <w:rPr>
        <w:rFonts w:ascii="Symbol" w:hAnsi="Symbol"/>
      </w:rPr>
    </w:lvl>
    <w:lvl w:ilvl="2" w:tplc="A2E6F454">
      <w:start w:val="1"/>
      <w:numFmt w:val="bullet"/>
      <w:lvlText w:val=""/>
      <w:lvlJc w:val="left"/>
      <w:pPr>
        <w:ind w:left="720" w:hanging="360"/>
      </w:pPr>
      <w:rPr>
        <w:rFonts w:ascii="Symbol" w:hAnsi="Symbol"/>
      </w:rPr>
    </w:lvl>
    <w:lvl w:ilvl="3" w:tplc="DE608F70">
      <w:start w:val="1"/>
      <w:numFmt w:val="bullet"/>
      <w:lvlText w:val=""/>
      <w:lvlJc w:val="left"/>
      <w:pPr>
        <w:ind w:left="720" w:hanging="360"/>
      </w:pPr>
      <w:rPr>
        <w:rFonts w:ascii="Symbol" w:hAnsi="Symbol"/>
      </w:rPr>
    </w:lvl>
    <w:lvl w:ilvl="4" w:tplc="5EBCDF96">
      <w:start w:val="1"/>
      <w:numFmt w:val="bullet"/>
      <w:lvlText w:val=""/>
      <w:lvlJc w:val="left"/>
      <w:pPr>
        <w:ind w:left="720" w:hanging="360"/>
      </w:pPr>
      <w:rPr>
        <w:rFonts w:ascii="Symbol" w:hAnsi="Symbol"/>
      </w:rPr>
    </w:lvl>
    <w:lvl w:ilvl="5" w:tplc="0B924816">
      <w:start w:val="1"/>
      <w:numFmt w:val="bullet"/>
      <w:lvlText w:val=""/>
      <w:lvlJc w:val="left"/>
      <w:pPr>
        <w:ind w:left="720" w:hanging="360"/>
      </w:pPr>
      <w:rPr>
        <w:rFonts w:ascii="Symbol" w:hAnsi="Symbol"/>
      </w:rPr>
    </w:lvl>
    <w:lvl w:ilvl="6" w:tplc="C1964436">
      <w:start w:val="1"/>
      <w:numFmt w:val="bullet"/>
      <w:lvlText w:val=""/>
      <w:lvlJc w:val="left"/>
      <w:pPr>
        <w:ind w:left="720" w:hanging="360"/>
      </w:pPr>
      <w:rPr>
        <w:rFonts w:ascii="Symbol" w:hAnsi="Symbol"/>
      </w:rPr>
    </w:lvl>
    <w:lvl w:ilvl="7" w:tplc="61BAAC22">
      <w:start w:val="1"/>
      <w:numFmt w:val="bullet"/>
      <w:lvlText w:val=""/>
      <w:lvlJc w:val="left"/>
      <w:pPr>
        <w:ind w:left="720" w:hanging="360"/>
      </w:pPr>
      <w:rPr>
        <w:rFonts w:ascii="Symbol" w:hAnsi="Symbol"/>
      </w:rPr>
    </w:lvl>
    <w:lvl w:ilvl="8" w:tplc="14C8B18A">
      <w:start w:val="1"/>
      <w:numFmt w:val="bullet"/>
      <w:lvlText w:val=""/>
      <w:lvlJc w:val="left"/>
      <w:pPr>
        <w:ind w:left="720" w:hanging="360"/>
      </w:pPr>
      <w:rPr>
        <w:rFonts w:ascii="Symbol" w:hAnsi="Symbol"/>
      </w:rPr>
    </w:lvl>
  </w:abstractNum>
  <w:abstractNum w:abstractNumId="23" w15:restartNumberingAfterBreak="0">
    <w:nsid w:val="68D15555"/>
    <w:multiLevelType w:val="multilevel"/>
    <w:tmpl w:val="D2022BD0"/>
    <w:lvl w:ilvl="0">
      <w:start w:val="1"/>
      <w:numFmt w:val="upperLetter"/>
      <w:lvlText w:val="%1."/>
      <w:lvlJc w:val="left"/>
      <w:pPr>
        <w:ind w:left="720" w:hanging="360"/>
      </w:pPr>
      <w:rPr>
        <w:rFonts w:hint="default"/>
        <w:strike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6971750B"/>
    <w:multiLevelType w:val="hybridMultilevel"/>
    <w:tmpl w:val="14869B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03701422">
    <w:abstractNumId w:val="0"/>
  </w:num>
  <w:num w:numId="2" w16cid:durableId="2077360530">
    <w:abstractNumId w:val="1"/>
  </w:num>
  <w:num w:numId="3" w16cid:durableId="191840468">
    <w:abstractNumId w:val="2"/>
  </w:num>
  <w:num w:numId="4" w16cid:durableId="1410614085">
    <w:abstractNumId w:val="3"/>
  </w:num>
  <w:num w:numId="5" w16cid:durableId="1432310787">
    <w:abstractNumId w:val="4"/>
  </w:num>
  <w:num w:numId="6" w16cid:durableId="1484853170">
    <w:abstractNumId w:val="5"/>
  </w:num>
  <w:num w:numId="7" w16cid:durableId="1679503487">
    <w:abstractNumId w:val="6"/>
  </w:num>
  <w:num w:numId="8" w16cid:durableId="2034189722">
    <w:abstractNumId w:val="7"/>
  </w:num>
  <w:num w:numId="9" w16cid:durableId="192617752">
    <w:abstractNumId w:val="8"/>
  </w:num>
  <w:num w:numId="10" w16cid:durableId="465661313">
    <w:abstractNumId w:val="9"/>
  </w:num>
  <w:num w:numId="11" w16cid:durableId="1706055396">
    <w:abstractNumId w:val="10"/>
  </w:num>
  <w:num w:numId="12" w16cid:durableId="888960720">
    <w:abstractNumId w:val="11"/>
  </w:num>
  <w:num w:numId="13" w16cid:durableId="258952509">
    <w:abstractNumId w:val="12"/>
  </w:num>
  <w:num w:numId="14" w16cid:durableId="1567061961">
    <w:abstractNumId w:val="13"/>
  </w:num>
  <w:num w:numId="15" w16cid:durableId="295374607">
    <w:abstractNumId w:val="14"/>
  </w:num>
  <w:num w:numId="16" w16cid:durableId="1650088594">
    <w:abstractNumId w:val="23"/>
  </w:num>
  <w:num w:numId="17" w16cid:durableId="1358896991">
    <w:abstractNumId w:val="18"/>
  </w:num>
  <w:num w:numId="18" w16cid:durableId="1677462797">
    <w:abstractNumId w:val="24"/>
  </w:num>
  <w:num w:numId="19" w16cid:durableId="1028291608">
    <w:abstractNumId w:val="22"/>
  </w:num>
  <w:num w:numId="20" w16cid:durableId="563181015">
    <w:abstractNumId w:val="21"/>
  </w:num>
  <w:num w:numId="21" w16cid:durableId="377357072">
    <w:abstractNumId w:val="19"/>
  </w:num>
  <w:num w:numId="22" w16cid:durableId="1166671895">
    <w:abstractNumId w:val="16"/>
  </w:num>
  <w:num w:numId="23" w16cid:durableId="1023870984">
    <w:abstractNumId w:val="20"/>
  </w:num>
  <w:num w:numId="24" w16cid:durableId="1226532084">
    <w:abstractNumId w:val="17"/>
  </w:num>
  <w:num w:numId="25" w16cid:durableId="17453002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0NzW1NDa2sDQyM7JQ0lEKTi0uzszPAykwqQUAFwBc5SwAAAA="/>
  </w:docVars>
  <w:rsids>
    <w:rsidRoot w:val="00400E59"/>
    <w:rsid w:val="00075CFA"/>
    <w:rsid w:val="000A7F3B"/>
    <w:rsid w:val="000D2D95"/>
    <w:rsid w:val="000E3E53"/>
    <w:rsid w:val="00123121"/>
    <w:rsid w:val="00164F0C"/>
    <w:rsid w:val="00170918"/>
    <w:rsid w:val="001F029D"/>
    <w:rsid w:val="0020540C"/>
    <w:rsid w:val="00222F97"/>
    <w:rsid w:val="002346B1"/>
    <w:rsid w:val="002A42D0"/>
    <w:rsid w:val="003C54F9"/>
    <w:rsid w:val="00400E59"/>
    <w:rsid w:val="00404F87"/>
    <w:rsid w:val="004B68A3"/>
    <w:rsid w:val="00527BF7"/>
    <w:rsid w:val="005B0E6A"/>
    <w:rsid w:val="005C339B"/>
    <w:rsid w:val="0065106A"/>
    <w:rsid w:val="00682843"/>
    <w:rsid w:val="00731DB6"/>
    <w:rsid w:val="007869E2"/>
    <w:rsid w:val="007E4980"/>
    <w:rsid w:val="007F48DE"/>
    <w:rsid w:val="007F52D2"/>
    <w:rsid w:val="008732BD"/>
    <w:rsid w:val="00887499"/>
    <w:rsid w:val="008B4664"/>
    <w:rsid w:val="008B766A"/>
    <w:rsid w:val="009036CF"/>
    <w:rsid w:val="009C3B06"/>
    <w:rsid w:val="00A1178C"/>
    <w:rsid w:val="00A33C6C"/>
    <w:rsid w:val="00A7397C"/>
    <w:rsid w:val="00AA1B81"/>
    <w:rsid w:val="00AA3E21"/>
    <w:rsid w:val="00AE1B6D"/>
    <w:rsid w:val="00AF1A91"/>
    <w:rsid w:val="00B22D9E"/>
    <w:rsid w:val="00B33958"/>
    <w:rsid w:val="00B73D0E"/>
    <w:rsid w:val="00BD4F82"/>
    <w:rsid w:val="00C53C60"/>
    <w:rsid w:val="00CB36A3"/>
    <w:rsid w:val="00CD6FD6"/>
    <w:rsid w:val="00D02B67"/>
    <w:rsid w:val="00D225A1"/>
    <w:rsid w:val="00DE467A"/>
    <w:rsid w:val="00E218CE"/>
    <w:rsid w:val="00E42BC4"/>
    <w:rsid w:val="00E93741"/>
    <w:rsid w:val="00E97005"/>
    <w:rsid w:val="00F10E5C"/>
    <w:rsid w:val="00F20553"/>
    <w:rsid w:val="00F35158"/>
    <w:rsid w:val="00F657F1"/>
    <w:rsid w:val="00FC7981"/>
    <w:rsid w:val="00FD4492"/>
    <w:rsid w:val="00FD6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5786B"/>
  <w15:docId w15:val="{0E8A8E66-2F3F-4845-A741-6837EABA6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80"/>
    <w:pPr>
      <w:spacing w:before="240" w:after="240"/>
    </w:pPr>
    <w:rPr>
      <w:rFonts w:ascii="Calibri" w:eastAsia="Calibri" w:hAnsi="Calibri" w:cs="Calibri"/>
      <w:sz w:val="22"/>
      <w:szCs w:val="22"/>
    </w:rPr>
  </w:style>
  <w:style w:type="paragraph" w:styleId="Heading1">
    <w:name w:val="heading 1"/>
    <w:basedOn w:val="Normal"/>
    <w:next w:val="Normal"/>
    <w:link w:val="Heading1Char"/>
    <w:uiPriority w:val="9"/>
    <w:qFormat/>
    <w:rsid w:val="00506D7A"/>
    <w:pPr>
      <w:keepNext/>
      <w:keepLines/>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FootnoteReference">
    <w:name w:val="footnote reference"/>
    <w:basedOn w:val="DefaultParagraphFont"/>
    <w:uiPriority w:val="99"/>
    <w:rsid w:val="00805BCE"/>
    <w:rPr>
      <w:vertAlign w:val="superscript"/>
    </w:rPr>
  </w:style>
  <w:style w:type="paragraph" w:styleId="FootnoteText">
    <w:name w:val="footnote text"/>
    <w:basedOn w:val="Normal"/>
    <w:link w:val="FootnoteTextChar"/>
    <w:uiPriority w:val="99"/>
    <w:qFormat/>
    <w:rsid w:val="000F3DF7"/>
    <w:rPr>
      <w:sz w:val="20"/>
      <w:szCs w:val="20"/>
    </w:rPr>
  </w:style>
  <w:style w:type="character" w:customStyle="1" w:styleId="FootnoteTextChar">
    <w:name w:val="Footnote Text Char"/>
    <w:basedOn w:val="DefaultParagraphFont"/>
    <w:link w:val="FootnoteText"/>
    <w:uiPriority w:val="99"/>
    <w:rsid w:val="000F3DF7"/>
    <w:rPr>
      <w:sz w:val="20"/>
      <w:szCs w:val="20"/>
    </w:rPr>
  </w:style>
  <w:style w:type="character" w:styleId="CommentReference">
    <w:name w:val="annotation reference"/>
    <w:basedOn w:val="DefaultParagraphFont"/>
    <w:uiPriority w:val="99"/>
    <w:rsid w:val="000F3DF7"/>
    <w:rPr>
      <w:sz w:val="16"/>
      <w:szCs w:val="16"/>
    </w:rPr>
  </w:style>
  <w:style w:type="character" w:customStyle="1" w:styleId="PlaceholderText1">
    <w:name w:val="Placeholder Text1"/>
    <w:basedOn w:val="DefaultParagraphFont"/>
    <w:uiPriority w:val="99"/>
    <w:semiHidden/>
    <w:rPr>
      <w:color w:val="80808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8B766A"/>
    <w:rPr>
      <w:b/>
      <w:bCs/>
    </w:rPr>
  </w:style>
  <w:style w:type="character" w:customStyle="1" w:styleId="CommentSubjectChar">
    <w:name w:val="Comment Subject Char"/>
    <w:basedOn w:val="CommentTextChar"/>
    <w:link w:val="CommentSubject"/>
    <w:uiPriority w:val="99"/>
    <w:semiHidden/>
    <w:rsid w:val="008B766A"/>
    <w:rPr>
      <w:rFonts w:ascii="Calibri" w:eastAsia="Calibri" w:hAnsi="Calibri" w:cs="Calibri"/>
      <w:b/>
      <w:bCs/>
    </w:rPr>
  </w:style>
  <w:style w:type="paragraph" w:styleId="Revision">
    <w:name w:val="Revision"/>
    <w:hidden/>
    <w:uiPriority w:val="99"/>
    <w:semiHidden/>
    <w:rsid w:val="008B766A"/>
    <w:rPr>
      <w:rFonts w:ascii="Calibri" w:eastAsia="Calibri" w:hAnsi="Calibri" w:cs="Calibri"/>
      <w:sz w:val="22"/>
      <w:szCs w:val="22"/>
    </w:rPr>
  </w:style>
  <w:style w:type="paragraph" w:styleId="Header">
    <w:name w:val="header"/>
    <w:basedOn w:val="Normal"/>
    <w:link w:val="HeaderChar"/>
    <w:uiPriority w:val="99"/>
    <w:unhideWhenUsed/>
    <w:rsid w:val="007869E2"/>
    <w:pPr>
      <w:tabs>
        <w:tab w:val="center" w:pos="4680"/>
        <w:tab w:val="right" w:pos="9360"/>
      </w:tabs>
    </w:pPr>
  </w:style>
  <w:style w:type="character" w:customStyle="1" w:styleId="HeaderChar">
    <w:name w:val="Header Char"/>
    <w:basedOn w:val="DefaultParagraphFont"/>
    <w:link w:val="Header"/>
    <w:uiPriority w:val="99"/>
    <w:rsid w:val="007869E2"/>
    <w:rPr>
      <w:rFonts w:ascii="Calibri" w:eastAsia="Calibri" w:hAnsi="Calibri" w:cs="Calibri"/>
      <w:sz w:val="22"/>
      <w:szCs w:val="22"/>
    </w:rPr>
  </w:style>
  <w:style w:type="paragraph" w:styleId="Footer">
    <w:name w:val="footer"/>
    <w:basedOn w:val="Normal"/>
    <w:link w:val="FooterChar"/>
    <w:uiPriority w:val="99"/>
    <w:unhideWhenUsed/>
    <w:rsid w:val="007869E2"/>
    <w:pPr>
      <w:tabs>
        <w:tab w:val="center" w:pos="4680"/>
        <w:tab w:val="right" w:pos="9360"/>
      </w:tabs>
    </w:pPr>
  </w:style>
  <w:style w:type="character" w:customStyle="1" w:styleId="FooterChar">
    <w:name w:val="Footer Char"/>
    <w:basedOn w:val="DefaultParagraphFont"/>
    <w:link w:val="Footer"/>
    <w:uiPriority w:val="99"/>
    <w:rsid w:val="007869E2"/>
    <w:rPr>
      <w:rFonts w:ascii="Calibri" w:eastAsia="Calibri" w:hAnsi="Calibri" w:cs="Calibri"/>
      <w:sz w:val="22"/>
      <w:szCs w:val="22"/>
    </w:rPr>
  </w:style>
  <w:style w:type="paragraph" w:styleId="ListParagraph">
    <w:name w:val="List Paragraph"/>
    <w:basedOn w:val="Normal"/>
    <w:uiPriority w:val="34"/>
    <w:qFormat/>
    <w:rsid w:val="000E3E53"/>
    <w:pPr>
      <w:ind w:left="720"/>
      <w:contextualSpacing/>
    </w:pPr>
  </w:style>
  <w:style w:type="paragraph" w:customStyle="1" w:styleId="Default">
    <w:name w:val="Default"/>
    <w:rsid w:val="008B4664"/>
    <w:pPr>
      <w:autoSpaceDE w:val="0"/>
      <w:autoSpaceDN w:val="0"/>
      <w:adjustRightInd w:val="0"/>
    </w:pPr>
    <w:rPr>
      <w:color w:val="000000"/>
      <w:sz w:val="24"/>
      <w:szCs w:val="24"/>
    </w:rPr>
  </w:style>
  <w:style w:type="paragraph" w:customStyle="1" w:styleId="pf0">
    <w:name w:val="pf0"/>
    <w:basedOn w:val="Normal"/>
    <w:rsid w:val="00B22D9E"/>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B22D9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7">
      <a:majorFont>
        <a:latin typeface="Calibri"/>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0BA6CEF993CA04FBC861BABD861E725" ma:contentTypeVersion="17" ma:contentTypeDescription="Create a new document." ma:contentTypeScope="" ma:versionID="6d765b12d3e5486027badca170eb3314">
  <xsd:schema xmlns:xsd="http://www.w3.org/2001/XMLSchema" xmlns:xs="http://www.w3.org/2001/XMLSchema" xmlns:p="http://schemas.microsoft.com/office/2006/metadata/properties" xmlns:ns2="556b9c53-bd0d-4f42-a6c8-cb40549b622a" xmlns:ns3="594b38c5-5d87-4706-a46f-f842ec33131b" targetNamespace="http://schemas.microsoft.com/office/2006/metadata/properties" ma:root="true" ma:fieldsID="2479b6b1e9226e87c3343389e447a6ca" ns2:_="" ns3:_="">
    <xsd:import namespace="556b9c53-bd0d-4f42-a6c8-cb40549b622a"/>
    <xsd:import namespace="594b38c5-5d87-4706-a46f-f842ec3313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b9c53-bd0d-4f42-a6c8-cb40549b62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6b12a51-2bd6-40d8-b52b-995f07bc53f2}" ma:internalName="TaxCatchAll" ma:showField="CatchAllData" ma:web="556b9c53-bd0d-4f42-a6c8-cb40549b62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4b38c5-5d87-4706-a46f-f842ec3313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description="" ma:indexed="true"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7303b8-e139-4625-a0cf-7f79d2d67b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56b9c53-bd0d-4f42-a6c8-cb40549b622a" xsi:nil="true"/>
    <lcf76f155ced4ddcb4097134ff3c332f xmlns="594b38c5-5d87-4706-a46f-f842ec3313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6301D7-D7F0-44F5-8DF3-6A06D08188AB}">
  <ds:schemaRefs>
    <ds:schemaRef ds:uri="http://schemas.openxmlformats.org/officeDocument/2006/bibliography"/>
  </ds:schemaRefs>
</ds:datastoreItem>
</file>

<file path=customXml/itemProps2.xml><?xml version="1.0" encoding="utf-8"?>
<ds:datastoreItem xmlns:ds="http://schemas.openxmlformats.org/officeDocument/2006/customXml" ds:itemID="{12C5CE68-7425-4421-A8A5-D26FBB426CA8}"/>
</file>

<file path=customXml/itemProps3.xml><?xml version="1.0" encoding="utf-8"?>
<ds:datastoreItem xmlns:ds="http://schemas.openxmlformats.org/officeDocument/2006/customXml" ds:itemID="{9935C42A-966F-404A-8A25-4CAA15A80233}"/>
</file>

<file path=customXml/itemProps4.xml><?xml version="1.0" encoding="utf-8"?>
<ds:datastoreItem xmlns:ds="http://schemas.openxmlformats.org/officeDocument/2006/customXml" ds:itemID="{C97E600B-9767-4DB2-8857-B5CE56681D7C}"/>
</file>

<file path=docProps/app.xml><?xml version="1.0" encoding="utf-8"?>
<Properties xmlns="http://schemas.openxmlformats.org/officeDocument/2006/extended-properties" xmlns:vt="http://schemas.openxmlformats.org/officeDocument/2006/docPropsVTypes">
  <Template>Normal.dotm</Template>
  <TotalTime>8</TotalTime>
  <Pages>5</Pages>
  <Words>1243</Words>
  <Characters>6196</Characters>
  <Application>Microsoft Office Word</Application>
  <DocSecurity>0</DocSecurity>
  <Lines>84</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 Ashley</dc:creator>
  <cp:lastModifiedBy>HeeJin Kim</cp:lastModifiedBy>
  <cp:revision>4</cp:revision>
  <dcterms:created xsi:type="dcterms:W3CDTF">2026-02-09T17:03:00Z</dcterms:created>
  <dcterms:modified xsi:type="dcterms:W3CDTF">2026-03-04T16:37:00Z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0x010100C0BA6CEF993CA04FBC861BABD861E725</vt:lpwstr>
  </property>
</Properties>
</file>