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E0A571" w14:textId="77777777" w:rsidR="00B41714" w:rsidRPr="005A484B" w:rsidRDefault="00B41714" w:rsidP="00B41714">
      <w:pPr>
        <w:spacing w:after="160"/>
        <w:jc w:val="both"/>
        <w:rPr>
          <w:rFonts w:ascii="Swis721 Lt BT" w:eastAsiaTheme="minorHAnsi" w:hAnsi="Swis721 Lt BT" w:cstheme="minorBidi"/>
          <w:b/>
          <w:bCs/>
          <w:sz w:val="20"/>
          <w:szCs w:val="20"/>
        </w:rPr>
      </w:pPr>
      <w:r>
        <w:rPr>
          <w:rFonts w:ascii="Swis721 Lt BT" w:eastAsia="Swis721 Lt BT" w:hAnsi="Swis721 Lt BT" w:cs="Swis721 Lt BT"/>
          <w:b/>
          <w:bCs/>
          <w:sz w:val="20"/>
          <w:szCs w:val="20"/>
        </w:rPr>
        <w:t xml:space="preserve">The language in </w:t>
      </w:r>
      <w:r>
        <w:rPr>
          <w:rFonts w:ascii="Swis721 Lt BT" w:eastAsia="Swis721 Lt BT" w:hAnsi="Swis721 Lt BT" w:cs="Swis721 Lt BT"/>
          <w:b/>
          <w:bCs/>
          <w:color w:val="C00000"/>
          <w:sz w:val="20"/>
          <w:szCs w:val="20"/>
        </w:rPr>
        <w:t xml:space="preserve">red </w:t>
      </w:r>
      <w:r>
        <w:rPr>
          <w:rFonts w:ascii="Swis721 Lt BT" w:eastAsia="Swis721 Lt BT" w:hAnsi="Swis721 Lt BT" w:cs="Swis721 Lt BT"/>
          <w:b/>
          <w:bCs/>
          <w:sz w:val="20"/>
          <w:szCs w:val="20"/>
        </w:rPr>
        <w:t xml:space="preserve">is directly from state law and must be inserted into the ordinance as written. </w:t>
      </w:r>
      <w:r w:rsidRPr="005A484B">
        <w:rPr>
          <w:rFonts w:ascii="Swis721 Lt BT" w:eastAsiaTheme="minorHAnsi" w:hAnsi="Swis721 Lt BT" w:cstheme="minorBidi"/>
          <w:b/>
          <w:bCs/>
          <w:sz w:val="20"/>
          <w:szCs w:val="20"/>
        </w:rPr>
        <w:t xml:space="preserve">The language in </w:t>
      </w:r>
      <w:r w:rsidRPr="005A484B">
        <w:rPr>
          <w:rFonts w:ascii="Swis721 Lt BT" w:eastAsiaTheme="minorHAnsi" w:hAnsi="Swis721 Lt BT" w:cstheme="minorBidi"/>
          <w:b/>
          <w:bCs/>
          <w:color w:val="4F81BD" w:themeColor="accent1"/>
          <w:sz w:val="20"/>
          <w:szCs w:val="20"/>
        </w:rPr>
        <w:t xml:space="preserve">blue </w:t>
      </w:r>
      <w:r w:rsidRPr="005A484B">
        <w:rPr>
          <w:rFonts w:ascii="Swis721 Lt BT" w:eastAsiaTheme="minorHAnsi" w:hAnsi="Swis721 Lt BT" w:cstheme="minorBidi"/>
          <w:b/>
          <w:bCs/>
          <w:sz w:val="20"/>
          <w:szCs w:val="20"/>
        </w:rPr>
        <w:t xml:space="preserve">is new or changed language </w:t>
      </w:r>
      <w:r>
        <w:rPr>
          <w:rFonts w:ascii="Swis721 Lt BT" w:eastAsiaTheme="minorHAnsi" w:hAnsi="Swis721 Lt BT" w:cstheme="minorBidi"/>
          <w:b/>
          <w:bCs/>
          <w:sz w:val="20"/>
          <w:szCs w:val="20"/>
        </w:rPr>
        <w:t xml:space="preserve">directly from state law </w:t>
      </w:r>
      <w:proofErr w:type="gramStart"/>
      <w:r>
        <w:rPr>
          <w:rFonts w:ascii="Swis721 Lt BT" w:eastAsiaTheme="minorHAnsi" w:hAnsi="Swis721 Lt BT" w:cstheme="minorBidi"/>
          <w:b/>
          <w:bCs/>
          <w:sz w:val="20"/>
          <w:szCs w:val="20"/>
        </w:rPr>
        <w:t>as a result of</w:t>
      </w:r>
      <w:proofErr w:type="gramEnd"/>
      <w:r>
        <w:rPr>
          <w:rFonts w:ascii="Swis721 Lt BT" w:eastAsiaTheme="minorHAnsi" w:hAnsi="Swis721 Lt BT" w:cstheme="minorBidi"/>
          <w:b/>
          <w:bCs/>
          <w:sz w:val="20"/>
          <w:szCs w:val="20"/>
        </w:rPr>
        <w:t xml:space="preserve"> </w:t>
      </w:r>
      <w:r w:rsidRPr="005A484B">
        <w:rPr>
          <w:rFonts w:ascii="Swis721 Lt BT" w:eastAsiaTheme="minorHAnsi" w:hAnsi="Swis721 Lt BT" w:cstheme="minorBidi"/>
          <w:b/>
          <w:bCs/>
          <w:sz w:val="20"/>
          <w:szCs w:val="20"/>
        </w:rPr>
        <w:t xml:space="preserve">the 2024 legislation and represents </w:t>
      </w:r>
      <w:r>
        <w:rPr>
          <w:rFonts w:ascii="Swis721 Lt BT" w:eastAsiaTheme="minorHAnsi" w:hAnsi="Swis721 Lt BT" w:cstheme="minorBidi"/>
          <w:b/>
          <w:bCs/>
          <w:sz w:val="20"/>
          <w:szCs w:val="20"/>
        </w:rPr>
        <w:t xml:space="preserve">required </w:t>
      </w:r>
      <w:r w:rsidRPr="005A484B">
        <w:rPr>
          <w:rFonts w:ascii="Swis721 Lt BT" w:eastAsiaTheme="minorHAnsi" w:hAnsi="Swis721 Lt BT" w:cstheme="minorBidi"/>
          <w:b/>
          <w:bCs/>
          <w:sz w:val="20"/>
          <w:szCs w:val="20"/>
        </w:rPr>
        <w:t xml:space="preserve">changes </w:t>
      </w:r>
      <w:r>
        <w:rPr>
          <w:rFonts w:ascii="Swis721 Lt BT" w:eastAsiaTheme="minorHAnsi" w:hAnsi="Swis721 Lt BT" w:cstheme="minorBidi"/>
          <w:b/>
          <w:bCs/>
          <w:sz w:val="20"/>
          <w:szCs w:val="20"/>
        </w:rPr>
        <w:t xml:space="preserve">to the local regulations </w:t>
      </w:r>
      <w:r w:rsidRPr="005A484B">
        <w:rPr>
          <w:rFonts w:ascii="Swis721 Lt BT" w:eastAsiaTheme="minorHAnsi" w:hAnsi="Swis721 Lt BT" w:cstheme="minorBidi"/>
          <w:b/>
          <w:bCs/>
          <w:sz w:val="20"/>
          <w:szCs w:val="20"/>
        </w:rPr>
        <w:t xml:space="preserve">through strikethroughs and underlining.  </w:t>
      </w:r>
      <w:bookmarkStart w:id="0" w:name="_Hlk145936472"/>
    </w:p>
    <w:bookmarkEnd w:id="0"/>
    <w:p w14:paraId="6D2B738D" w14:textId="0C37D11F" w:rsidR="0080288C" w:rsidRPr="00DC3A7B" w:rsidRDefault="00B41714" w:rsidP="00B41714">
      <w:pPr>
        <w:spacing w:after="160"/>
        <w:jc w:val="both"/>
        <w:rPr>
          <w:rFonts w:ascii="Swis721 Lt BT" w:hAnsi="Swis721 Lt BT"/>
          <w:b/>
          <w:bCs/>
          <w:i/>
          <w:iCs/>
          <w:sz w:val="20"/>
          <w:szCs w:val="20"/>
        </w:rPr>
      </w:pPr>
      <w:r w:rsidRPr="00DC3A7B">
        <w:rPr>
          <w:rFonts w:ascii="Swis721 Lt BT" w:eastAsia="Swis721 Lt BT" w:hAnsi="Swis721 Lt BT"/>
          <w:i/>
          <w:iCs/>
          <w:sz w:val="20"/>
          <w:szCs w:val="20"/>
        </w:rPr>
        <w:t>General Provisions.</w:t>
      </w:r>
    </w:p>
    <w:p w14:paraId="36FCE6ED" w14:textId="77777777" w:rsidR="0080288C" w:rsidRPr="00DC3A7B" w:rsidRDefault="00B41714" w:rsidP="00DC3A7B">
      <w:pPr>
        <w:pStyle w:val="Heading2"/>
        <w:spacing w:after="160"/>
        <w:rPr>
          <w:rFonts w:ascii="Swis721 Lt BT" w:hAnsi="Swis721 Lt BT"/>
          <w:b w:val="0"/>
          <w:bCs w:val="0"/>
          <w:i/>
          <w:iCs/>
          <w:color w:val="auto"/>
          <w:sz w:val="20"/>
          <w:szCs w:val="20"/>
        </w:rPr>
      </w:pPr>
      <w:r w:rsidRPr="00DC3A7B">
        <w:rPr>
          <w:rFonts w:ascii="Swis721 Lt BT" w:eastAsia="Swis721 Lt BT" w:hAnsi="Swis721 Lt BT"/>
          <w:b w:val="0"/>
          <w:bCs w:val="0"/>
          <w:i/>
          <w:iCs/>
          <w:color w:val="auto"/>
          <w:sz w:val="20"/>
          <w:szCs w:val="20"/>
        </w:rPr>
        <w:t xml:space="preserve">Substandard Lots of Record.  </w:t>
      </w:r>
    </w:p>
    <w:p w14:paraId="14BBB6BA" w14:textId="507DF2E7" w:rsidR="00AD6DAC" w:rsidRPr="00AD6DAC" w:rsidRDefault="00B41714" w:rsidP="00DC3A7B">
      <w:pPr>
        <w:numPr>
          <w:ilvl w:val="0"/>
          <w:numId w:val="1"/>
        </w:numPr>
        <w:tabs>
          <w:tab w:val="left" w:pos="725"/>
        </w:tabs>
        <w:spacing w:after="160"/>
        <w:ind w:left="720" w:hanging="360"/>
        <w:jc w:val="both"/>
        <w:rPr>
          <w:sz w:val="20"/>
          <w:szCs w:val="20"/>
        </w:rPr>
      </w:pPr>
      <w:r>
        <w:rPr>
          <w:rFonts w:ascii="Swis721 Lt BT" w:eastAsia="Swis721 Lt BT" w:hAnsi="Swis721 Lt BT" w:cs="Swis721 Lt BT"/>
          <w:color w:val="C00000"/>
          <w:sz w:val="20"/>
          <w:szCs w:val="20"/>
        </w:rPr>
        <w:t xml:space="preserve">Notwithstanding the failure of a single substandard lot of record or contiguous lots of record to meet the dimensional and /or quantitative requirements of this zoning ordinance, and/or road frontage or other access requirements applicable to the district as stated in the ordinance, a substandard lot of record shall not be required to seek any zoning relief based solely on the failure to meet minimum lot size requirements of the district in which such lot is located.  </w:t>
      </w:r>
      <w:r w:rsidRPr="00AD6DAC">
        <w:rPr>
          <w:rFonts w:ascii="Swis721 Lt BT" w:eastAsia="Swis721 Lt BT" w:hAnsi="Swis721 Lt BT" w:cs="Swis721 Lt BT"/>
          <w:strike/>
          <w:color w:val="0070C0"/>
          <w:sz w:val="20"/>
          <w:szCs w:val="20"/>
        </w:rPr>
        <w:t>The setback, frontage, and/or lot width requirements for a structure under this section shall be reduced and the maximum building coverage requirements shall be increased by the same proportion as the lot area of the substandard lot is to the minimum lot area requirement of the zoning district in which the lot is located.</w:t>
      </w:r>
      <w:r>
        <w:rPr>
          <w:rFonts w:ascii="Swis721 Lt BT" w:eastAsia="Swis721 Lt BT" w:hAnsi="Swis721 Lt BT" w:cs="Swis721 Lt BT"/>
          <w:color w:val="0070C0"/>
          <w:sz w:val="20"/>
          <w:szCs w:val="20"/>
        </w:rPr>
        <w:t xml:space="preserve"> </w:t>
      </w:r>
      <w:r>
        <w:rPr>
          <w:rFonts w:ascii="Swis721 Lt BT" w:eastAsia="Swis721 Lt BT" w:hAnsi="Swis721 Lt BT" w:cs="Swis721 Lt BT"/>
          <w:color w:val="0070C0"/>
          <w:sz w:val="20"/>
          <w:szCs w:val="20"/>
          <w:u w:val="single"/>
        </w:rPr>
        <w:t>For any structure proposed under this section on a substandard lot of record, the following dimensional regulations shall apply:</w:t>
      </w:r>
    </w:p>
    <w:p w14:paraId="1F33F1EF" w14:textId="5B8715D2" w:rsidR="0080288C" w:rsidRPr="00AD6DAC" w:rsidRDefault="00B41714" w:rsidP="00DC3A7B">
      <w:pPr>
        <w:pStyle w:val="ListParagraph"/>
        <w:numPr>
          <w:ilvl w:val="0"/>
          <w:numId w:val="2"/>
        </w:numPr>
        <w:tabs>
          <w:tab w:val="left" w:pos="725"/>
        </w:tabs>
        <w:spacing w:after="160"/>
        <w:contextualSpacing w:val="0"/>
        <w:jc w:val="both"/>
        <w:rPr>
          <w:color w:val="0070C0"/>
          <w:sz w:val="20"/>
          <w:szCs w:val="20"/>
          <w:u w:val="single"/>
        </w:rPr>
      </w:pPr>
      <w:r w:rsidRPr="00AD6DAC">
        <w:rPr>
          <w:rFonts w:ascii="Swis721 Lt BT" w:eastAsia="Swis721 Lt BT" w:hAnsi="Swis721 Lt BT" w:cs="Swis721 Lt BT"/>
          <w:color w:val="0070C0"/>
          <w:sz w:val="20"/>
          <w:szCs w:val="20"/>
          <w:u w:val="single"/>
        </w:rPr>
        <w:t xml:space="preserve">Minimum building setbacks, lot frontage and lot width requirements for a lot which </w:t>
      </w:r>
      <w:r w:rsidR="00DC3A7B" w:rsidRPr="00AD6DAC">
        <w:rPr>
          <w:rFonts w:ascii="Swis721 Lt BT" w:eastAsia="Swis721 Lt BT" w:hAnsi="Swis721 Lt BT" w:cs="Swis721 Lt BT"/>
          <w:color w:val="0070C0"/>
          <w:sz w:val="20"/>
          <w:szCs w:val="20"/>
          <w:u w:val="single"/>
        </w:rPr>
        <w:t>is nonconforming</w:t>
      </w:r>
      <w:r w:rsidRPr="00AD6DAC">
        <w:rPr>
          <w:rFonts w:ascii="Swis721 Lt BT" w:eastAsia="Swis721 Lt BT" w:hAnsi="Swis721 Lt BT" w:cs="Swis721 Lt BT"/>
          <w:color w:val="0070C0"/>
          <w:sz w:val="20"/>
          <w:szCs w:val="20"/>
          <w:u w:val="single"/>
        </w:rPr>
        <w:t xml:space="preserve"> in area shall be reduced by applying the building setback, lot frontage</w:t>
      </w:r>
      <w:r w:rsidR="00DC3A7B">
        <w:rPr>
          <w:rFonts w:ascii="Swis721 Lt BT" w:eastAsia="Swis721 Lt BT" w:hAnsi="Swis721 Lt BT" w:cs="Swis721 Lt BT"/>
          <w:color w:val="0070C0"/>
          <w:sz w:val="20"/>
          <w:szCs w:val="20"/>
          <w:u w:val="single"/>
        </w:rPr>
        <w:t>,</w:t>
      </w:r>
      <w:r w:rsidRPr="00AD6DAC">
        <w:rPr>
          <w:rFonts w:ascii="Swis721 Lt BT" w:eastAsia="Swis721 Lt BT" w:hAnsi="Swis721 Lt BT" w:cs="Swis721 Lt BT"/>
          <w:color w:val="0070C0"/>
          <w:sz w:val="20"/>
          <w:szCs w:val="20"/>
          <w:u w:val="single"/>
        </w:rPr>
        <w:t xml:space="preserve"> and lot width requirements from another zoning district in which the subject lot would be conforming as to lot area. If the subject lot is not conforming as to lot area in any zoning district, the setbacks, lot frontage</w:t>
      </w:r>
      <w:r w:rsidR="00DC3A7B">
        <w:rPr>
          <w:rFonts w:ascii="Swis721 Lt BT" w:eastAsia="Swis721 Lt BT" w:hAnsi="Swis721 Lt BT" w:cs="Swis721 Lt BT"/>
          <w:color w:val="0070C0"/>
          <w:sz w:val="20"/>
          <w:szCs w:val="20"/>
          <w:u w:val="single"/>
        </w:rPr>
        <w:t>,</w:t>
      </w:r>
      <w:r w:rsidRPr="00AD6DAC">
        <w:rPr>
          <w:rFonts w:ascii="Swis721 Lt BT" w:eastAsia="Swis721 Lt BT" w:hAnsi="Swis721 Lt BT" w:cs="Swis721 Lt BT"/>
          <w:color w:val="0070C0"/>
          <w:sz w:val="20"/>
          <w:szCs w:val="20"/>
          <w:u w:val="single"/>
        </w:rPr>
        <w:t xml:space="preserve"> and lot width shall be reduced by the same proportion that the area of such substandard lot meets the minimum lot area of the district in which the lot is located. By way of example, if the lot area of a substandard lot only meets forty percent (40%) of the minimum lot area required in the district in which it is located, the setbacks, frontage and width shall each be reduced to forty percent (40%) of the requirements for those dimensional standards in the same district.</w:t>
      </w:r>
    </w:p>
    <w:p w14:paraId="2C745C8B" w14:textId="77777777" w:rsidR="00DC3A7B" w:rsidRDefault="00B41714" w:rsidP="00DC3A7B">
      <w:pPr>
        <w:pStyle w:val="ListParagraph"/>
        <w:numPr>
          <w:ilvl w:val="0"/>
          <w:numId w:val="2"/>
        </w:numPr>
        <w:tabs>
          <w:tab w:val="left" w:pos="725"/>
        </w:tabs>
        <w:spacing w:after="160"/>
        <w:contextualSpacing w:val="0"/>
        <w:jc w:val="both"/>
        <w:rPr>
          <w:rFonts w:ascii="Swis721 Lt BT" w:eastAsia="Swis721 Lt BT" w:hAnsi="Swis721 Lt BT" w:cs="Swis721 Lt BT"/>
          <w:color w:val="0070C0"/>
          <w:sz w:val="20"/>
          <w:szCs w:val="20"/>
          <w:u w:val="single"/>
        </w:rPr>
      </w:pPr>
      <w:r w:rsidRPr="00AD6DAC">
        <w:rPr>
          <w:rFonts w:ascii="Swis721 Lt BT" w:eastAsia="Swis721 Lt BT" w:hAnsi="Swis721 Lt BT" w:cs="Swis721 Lt BT"/>
          <w:color w:val="0070C0"/>
          <w:sz w:val="20"/>
          <w:szCs w:val="20"/>
          <w:u w:val="single"/>
        </w:rPr>
        <w:t>Maximum lot building coverage for lots that are nonconforming in area shall be increased by the inverse proportion that the area of such substandard lot meets the minimum area requirements in the district in which the lot is located. By way of example, if the lot area of a substandard lot only meets forty percent (40%) of the required minimum lot area, the maximum lot building coverage is allowed to increase by sixty percent (60%) over the maximum permitted lot building coverage in that district.</w:t>
      </w:r>
    </w:p>
    <w:p w14:paraId="16A85275" w14:textId="2B217E67" w:rsidR="00AD6DAC" w:rsidRPr="00DC3A7B" w:rsidRDefault="00B41714" w:rsidP="00DC3A7B">
      <w:pPr>
        <w:tabs>
          <w:tab w:val="left" w:pos="1080"/>
        </w:tabs>
        <w:spacing w:after="160"/>
        <w:ind w:left="1080" w:hanging="360"/>
        <w:jc w:val="both"/>
        <w:rPr>
          <w:rFonts w:ascii="Swis721 Lt BT" w:eastAsia="Swis721 Lt BT" w:hAnsi="Swis721 Lt BT" w:cs="Swis721 Lt BT"/>
          <w:color w:val="C00000"/>
          <w:sz w:val="20"/>
          <w:szCs w:val="20"/>
          <w:u w:val="single"/>
        </w:rPr>
      </w:pPr>
      <w:r w:rsidRPr="00DC3A7B">
        <w:rPr>
          <w:rFonts w:ascii="Swis721 Lt BT" w:eastAsia="Swis721 Lt BT" w:hAnsi="Swis721 Lt BT" w:cs="Swis721 Lt BT"/>
          <w:color w:val="C00000"/>
          <w:sz w:val="20"/>
          <w:szCs w:val="20"/>
        </w:rPr>
        <w:t>3</w:t>
      </w:r>
      <w:r>
        <w:rPr>
          <w:rFonts w:ascii="Swis721 Lt BT" w:eastAsia="Swis721 Lt BT" w:hAnsi="Swis721 Lt BT" w:cs="Swis721 Lt BT"/>
          <w:color w:val="C00000"/>
          <w:sz w:val="20"/>
          <w:szCs w:val="20"/>
        </w:rPr>
        <w:t xml:space="preserve">.   </w:t>
      </w:r>
      <w:r w:rsidRPr="00DC3A7B">
        <w:rPr>
          <w:rFonts w:ascii="Swis721 Lt BT" w:eastAsia="Swis721 Lt BT" w:hAnsi="Swis721 Lt BT" w:cs="Swis721 Lt BT"/>
          <w:color w:val="C00000"/>
          <w:sz w:val="20"/>
          <w:szCs w:val="20"/>
        </w:rPr>
        <w:t>All proposals exceeding such reduced requirement shall proceed with a modification request under [INSERT LOCAL SECTION] or a dimensional variance request under [INSERT LOCAL SECTION], whichever is applicable.</w:t>
      </w:r>
    </w:p>
    <w:p w14:paraId="26D51D84" w14:textId="77777777" w:rsidR="0080288C" w:rsidRDefault="00B41714" w:rsidP="00DC3A7B">
      <w:pPr>
        <w:spacing w:after="160"/>
        <w:jc w:val="both"/>
        <w:rPr>
          <w:sz w:val="20"/>
          <w:szCs w:val="20"/>
        </w:rPr>
      </w:pPr>
      <w:r>
        <w:rPr>
          <w:rFonts w:ascii="Swis721 Lt BT" w:eastAsia="Swis721 Lt BT" w:hAnsi="Swis721 Lt BT" w:cs="Swis721 Lt BT"/>
          <w:b/>
          <w:bCs/>
          <w:color w:val="2F5496"/>
          <w:sz w:val="20"/>
          <w:szCs w:val="20"/>
        </w:rPr>
        <w:t>OTHER THAN WHAT IS REQUIRED BELOW, MERGER OF LOTS IS PERMISSIBLE WHEN THE ORDINANCE SPECIFIES THE STANDARDS, ON A DISTRICT-BY-DISTRICT BASIS, INCLUDING BUT NOT LIMITED TO, AVAILABILITY OF INFRASTRUCTURE, CHARACTER OF THE NEIGHBORHOOD, AND THE CONSISTENCY WITH THE COMPREHENSIVE PLAN.  IF THE ZONING ORDINANCE PROVIDES FOR MERGER, THE FOLLOWING MUST BE ADDED:</w:t>
      </w:r>
    </w:p>
    <w:p w14:paraId="58DA1390" w14:textId="77777777" w:rsidR="0080288C" w:rsidRDefault="00B41714" w:rsidP="00DC3A7B">
      <w:pPr>
        <w:spacing w:after="160"/>
        <w:jc w:val="both"/>
        <w:rPr>
          <w:sz w:val="20"/>
          <w:szCs w:val="20"/>
        </w:rPr>
      </w:pPr>
      <w:r>
        <w:rPr>
          <w:rFonts w:ascii="Swis721 Lt BT" w:eastAsia="Swis721 Lt BT" w:hAnsi="Swis721 Lt BT" w:cs="Swis721 Lt BT"/>
          <w:color w:val="C00000"/>
          <w:sz w:val="20"/>
          <w:szCs w:val="20"/>
          <w:u w:val="single" w:color="C00000"/>
        </w:rPr>
        <w:t>Merger prohibited for certain lots.</w:t>
      </w:r>
      <w:r>
        <w:rPr>
          <w:rFonts w:ascii="Swis721 Lt BT" w:eastAsia="Swis721 Lt BT" w:hAnsi="Swis721 Lt BT" w:cs="Swis721 Lt BT"/>
          <w:color w:val="C00000"/>
          <w:sz w:val="20"/>
          <w:szCs w:val="20"/>
        </w:rPr>
        <w:t xml:space="preserve">  The merger of lots shall not be required when the substandard lot of record has an area equal to or greater than the area of fifty percent (50%) of the lots within two hundred feet (200 ft) of the subject lot, as confirmed by the zoning enforcement officer.  </w:t>
      </w:r>
    </w:p>
    <w:sectPr w:rsidR="0080288C" w:rsidSect="00C54522">
      <w:headerReference w:type="default" r:id="rId7"/>
      <w:footerReference w:type="default" r:id="rId8"/>
      <w:pgSz w:w="12240" w:h="15840"/>
      <w:pgMar w:top="1905"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35881F" w14:textId="77777777" w:rsidR="006444B5" w:rsidRDefault="006444B5">
      <w:pPr>
        <w:spacing w:line="240" w:lineRule="auto"/>
      </w:pPr>
      <w:r>
        <w:separator/>
      </w:r>
    </w:p>
  </w:endnote>
  <w:endnote w:type="continuationSeparator" w:id="0">
    <w:p w14:paraId="72970899" w14:textId="77777777" w:rsidR="006444B5" w:rsidRDefault="006444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wis721 Lt BT">
    <w:altName w:val="Calibri"/>
    <w:panose1 w:val="020B0604020202020204"/>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1920096"/>
      <w:docPartObj>
        <w:docPartGallery w:val="Page Numbers (Bottom of Page)"/>
        <w:docPartUnique/>
      </w:docPartObj>
    </w:sdtPr>
    <w:sdtEndPr>
      <w:rPr>
        <w:noProof/>
      </w:rPr>
    </w:sdtEndPr>
    <w:sdtContent>
      <w:p w14:paraId="1FD4AE05" w14:textId="35556089" w:rsidR="00C54522" w:rsidRDefault="00B417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F6C575" w14:textId="77777777" w:rsidR="00C54522" w:rsidRDefault="00C54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D4D496" w14:textId="77777777" w:rsidR="006444B5" w:rsidRDefault="006444B5">
      <w:pPr>
        <w:spacing w:line="240" w:lineRule="auto"/>
      </w:pPr>
      <w:r>
        <w:separator/>
      </w:r>
    </w:p>
  </w:footnote>
  <w:footnote w:type="continuationSeparator" w:id="0">
    <w:p w14:paraId="0D3152A7" w14:textId="77777777" w:rsidR="006444B5" w:rsidRDefault="006444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B2BD3" w14:textId="13C00864" w:rsidR="00C54522" w:rsidRPr="00B41714" w:rsidRDefault="008A2A14" w:rsidP="008A2A14">
    <w:pPr>
      <w:tabs>
        <w:tab w:val="center" w:pos="4680"/>
        <w:tab w:val="right" w:pos="9360"/>
      </w:tabs>
      <w:spacing w:line="240" w:lineRule="auto"/>
      <w:ind w:left="2880"/>
      <w:rPr>
        <w:rFonts w:ascii="Swis721 Lt BT" w:hAnsi="Swis721 Lt BT"/>
        <w:b/>
        <w:bCs/>
        <w:sz w:val="20"/>
        <w:szCs w:val="20"/>
      </w:rPr>
    </w:pPr>
    <w:r w:rsidRPr="002E61BE">
      <w:rPr>
        <w:rFonts w:ascii="Swis721 Lt BT" w:eastAsia="Times New Roman" w:hAnsi="Swis721 Lt BT"/>
        <w:b/>
        <w:bCs/>
        <w:noProof/>
        <w:sz w:val="26"/>
        <w:szCs w:val="24"/>
      </w:rPr>
      <w:drawing>
        <wp:anchor distT="0" distB="0" distL="114300" distR="114300" simplePos="0" relativeHeight="251659264" behindDoc="0" locked="0" layoutInCell="1" allowOverlap="1" wp14:anchorId="31AB633B" wp14:editId="43823007">
          <wp:simplePos x="0" y="0"/>
          <wp:positionH relativeFrom="column">
            <wp:posOffset>0</wp:posOffset>
          </wp:positionH>
          <wp:positionV relativeFrom="paragraph">
            <wp:posOffset>-219132</wp:posOffset>
          </wp:positionV>
          <wp:extent cx="1697182" cy="780339"/>
          <wp:effectExtent l="0" t="0" r="5080" b="0"/>
          <wp:wrapNone/>
          <wp:docPr id="2033964330" name="Picture 203396433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34839" name="Picture 1" descr="Logo, company name&#10;&#10;Description automatically generated"/>
                  <pic:cNvPicPr/>
                </pic:nvPicPr>
                <pic:blipFill rotWithShape="1">
                  <a:blip r:embed="rId1">
                    <a:extLst>
                      <a:ext uri="{28A0092B-C50C-407E-A947-70E740481C1C}">
                        <a14:useLocalDpi xmlns:a14="http://schemas.microsoft.com/office/drawing/2010/main" val="0"/>
                      </a:ext>
                    </a:extLst>
                  </a:blip>
                  <a:srcRect t="-1" r="4811" b="-9277"/>
                  <a:stretch/>
                </pic:blipFill>
                <pic:spPr bwMode="auto">
                  <a:xfrm>
                    <a:off x="0" y="0"/>
                    <a:ext cx="1697182" cy="78033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41714" w:rsidRPr="00B41714">
      <w:rPr>
        <w:rFonts w:ascii="Swis721 Lt BT" w:hAnsi="Swis721 Lt BT"/>
        <w:b/>
        <w:bCs/>
        <w:sz w:val="20"/>
        <w:szCs w:val="20"/>
      </w:rPr>
      <w:t xml:space="preserve">Zoning Ordinance </w:t>
    </w:r>
    <w:r w:rsidR="00B41714" w:rsidRPr="00B41714">
      <w:rPr>
        <w:rFonts w:ascii="Swis721 Lt BT" w:hAnsi="Swis721 Lt BT"/>
        <w:b/>
        <w:bCs/>
        <w:sz w:val="20"/>
        <w:szCs w:val="20"/>
      </w:rPr>
      <w:tab/>
    </w:r>
    <w:r w:rsidR="00B41714" w:rsidRPr="00B41714">
      <w:rPr>
        <w:rFonts w:ascii="Swis721 Lt BT" w:hAnsi="Swis721 Lt BT"/>
        <w:b/>
        <w:bCs/>
        <w:sz w:val="20"/>
        <w:szCs w:val="20"/>
      </w:rPr>
      <w:tab/>
      <w:t>9/</w:t>
    </w:r>
    <w:r w:rsidR="00DC3A7B" w:rsidRPr="00B41714">
      <w:rPr>
        <w:rFonts w:ascii="Swis721 Lt BT" w:hAnsi="Swis721 Lt BT"/>
        <w:b/>
        <w:bCs/>
        <w:sz w:val="20"/>
        <w:szCs w:val="20"/>
      </w:rPr>
      <w:t>4</w:t>
    </w:r>
    <w:r w:rsidR="00B41714" w:rsidRPr="00B41714">
      <w:rPr>
        <w:rFonts w:ascii="Swis721 Lt BT" w:hAnsi="Swis721 Lt BT"/>
        <w:b/>
        <w:bCs/>
        <w:sz w:val="20"/>
        <w:szCs w:val="20"/>
      </w:rPr>
      <w:t>/</w:t>
    </w:r>
    <w:r w:rsidR="00DC3A7B" w:rsidRPr="00B41714">
      <w:rPr>
        <w:rFonts w:ascii="Swis721 Lt BT" w:hAnsi="Swis721 Lt BT"/>
        <w:b/>
        <w:bCs/>
        <w:sz w:val="20"/>
        <w:szCs w:val="20"/>
      </w:rPr>
      <w:t>24</w:t>
    </w:r>
  </w:p>
  <w:p w14:paraId="264D0224" w14:textId="620FD089" w:rsidR="00C54522" w:rsidRPr="00B41714" w:rsidRDefault="00B41714" w:rsidP="008A2A14">
    <w:pPr>
      <w:spacing w:line="240" w:lineRule="auto"/>
      <w:ind w:left="2880"/>
      <w:rPr>
        <w:rFonts w:ascii="Swis721 Lt BT" w:hAnsi="Swis721 Lt BT"/>
        <w:b/>
        <w:bCs/>
        <w:sz w:val="20"/>
        <w:szCs w:val="20"/>
      </w:rPr>
    </w:pPr>
    <w:r w:rsidRPr="00B41714">
      <w:rPr>
        <w:rFonts w:ascii="Swis721 Lt BT" w:hAnsi="Swis721 Lt BT"/>
        <w:b/>
        <w:bCs/>
        <w:sz w:val="20"/>
        <w:szCs w:val="20"/>
      </w:rPr>
      <w:t xml:space="preserve">H </w:t>
    </w:r>
    <w:r w:rsidR="00DC3A7B" w:rsidRPr="00B41714">
      <w:rPr>
        <w:rFonts w:ascii="Swis721 Lt BT" w:hAnsi="Swis721 Lt BT"/>
        <w:b/>
        <w:bCs/>
        <w:sz w:val="20"/>
        <w:szCs w:val="20"/>
      </w:rPr>
      <w:t xml:space="preserve">7949 </w:t>
    </w:r>
    <w:proofErr w:type="spellStart"/>
    <w:r w:rsidR="00DC3A7B" w:rsidRPr="00B41714">
      <w:rPr>
        <w:rFonts w:ascii="Swis721 Lt BT" w:hAnsi="Swis721 Lt BT"/>
        <w:b/>
        <w:bCs/>
        <w:sz w:val="20"/>
        <w:szCs w:val="20"/>
      </w:rPr>
      <w:t>Aaa</w:t>
    </w:r>
    <w:proofErr w:type="spellEnd"/>
    <w:r w:rsidRPr="00B41714">
      <w:rPr>
        <w:rFonts w:ascii="Swis721 Lt BT" w:hAnsi="Swis721 Lt BT"/>
        <w:b/>
        <w:bCs/>
        <w:sz w:val="20"/>
        <w:szCs w:val="20"/>
      </w:rPr>
      <w:t>, S 3001 A</w:t>
    </w:r>
  </w:p>
  <w:p w14:paraId="78731674" w14:textId="43E5D085" w:rsidR="00C54522" w:rsidRPr="00B41714" w:rsidRDefault="00B41714" w:rsidP="008A2A14">
    <w:pPr>
      <w:tabs>
        <w:tab w:val="center" w:pos="4680"/>
        <w:tab w:val="right" w:pos="9360"/>
      </w:tabs>
      <w:spacing w:line="240" w:lineRule="auto"/>
      <w:ind w:left="2880"/>
      <w:rPr>
        <w:rFonts w:ascii="Swis721 Lt BT" w:hAnsi="Swis721 Lt BT"/>
        <w:b/>
        <w:bCs/>
        <w:sz w:val="20"/>
        <w:szCs w:val="20"/>
      </w:rPr>
    </w:pPr>
    <w:r w:rsidRPr="00B41714">
      <w:rPr>
        <w:rFonts w:ascii="Swis721 Lt BT" w:hAnsi="Swis721 Lt BT"/>
        <w:b/>
        <w:bCs/>
        <w:sz w:val="20"/>
        <w:szCs w:val="20"/>
      </w:rPr>
      <w:t>Substandard Lots Zoning Template</w:t>
    </w:r>
    <w:r w:rsidRPr="00B41714">
      <w:rPr>
        <w:rFonts w:ascii="Swis721 Lt BT" w:hAnsi="Swis721 Lt BT"/>
        <w:b/>
        <w:bCs/>
        <w:sz w:val="20"/>
        <w:szCs w:val="20"/>
      </w:rPr>
      <w:tab/>
    </w:r>
    <w:r w:rsidRPr="00B41714">
      <w:rPr>
        <w:rFonts w:ascii="Swis721 Lt BT" w:hAnsi="Swis721 Lt BT"/>
        <w:b/>
        <w:bCs/>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40BE2B5C"/>
    <w:lvl w:ilvl="0" w:tplc="AC20FBBC">
      <w:start w:val="1"/>
      <w:numFmt w:val="lowerLetter"/>
      <w:lvlText w:val="%1."/>
      <w:lvlJc w:val="left"/>
      <w:pPr>
        <w:ind w:left="0" w:firstLine="0"/>
      </w:pPr>
      <w:rPr>
        <w:rFonts w:ascii="Swis721 Lt BT" w:hAnsi="Swis721 Lt BT" w:hint="default"/>
        <w:color w:val="C00000"/>
        <w:sz w:val="20"/>
        <w:szCs w:val="20"/>
      </w:rPr>
    </w:lvl>
    <w:lvl w:ilvl="1" w:tplc="159C891A">
      <w:start w:val="1"/>
      <w:numFmt w:val="bullet"/>
      <w:lvlText w:val="o"/>
      <w:lvlJc w:val="left"/>
      <w:pPr>
        <w:tabs>
          <w:tab w:val="num" w:pos="1440"/>
        </w:tabs>
        <w:ind w:left="1440" w:hanging="360"/>
      </w:pPr>
      <w:rPr>
        <w:rFonts w:ascii="Courier New" w:hAnsi="Courier New"/>
      </w:rPr>
    </w:lvl>
    <w:lvl w:ilvl="2" w:tplc="4B30FB20">
      <w:start w:val="1"/>
      <w:numFmt w:val="bullet"/>
      <w:lvlText w:val=""/>
      <w:lvlJc w:val="left"/>
      <w:pPr>
        <w:tabs>
          <w:tab w:val="num" w:pos="2160"/>
        </w:tabs>
        <w:ind w:left="2160" w:hanging="360"/>
      </w:pPr>
      <w:rPr>
        <w:rFonts w:ascii="Wingdings" w:hAnsi="Wingdings"/>
      </w:rPr>
    </w:lvl>
    <w:lvl w:ilvl="3" w:tplc="7D5CA4F2">
      <w:start w:val="1"/>
      <w:numFmt w:val="bullet"/>
      <w:lvlText w:val=""/>
      <w:lvlJc w:val="left"/>
      <w:pPr>
        <w:tabs>
          <w:tab w:val="num" w:pos="2880"/>
        </w:tabs>
        <w:ind w:left="2880" w:hanging="360"/>
      </w:pPr>
      <w:rPr>
        <w:rFonts w:ascii="Symbol" w:hAnsi="Symbol"/>
      </w:rPr>
    </w:lvl>
    <w:lvl w:ilvl="4" w:tplc="4E80D2B8">
      <w:start w:val="1"/>
      <w:numFmt w:val="bullet"/>
      <w:lvlText w:val="o"/>
      <w:lvlJc w:val="left"/>
      <w:pPr>
        <w:tabs>
          <w:tab w:val="num" w:pos="3600"/>
        </w:tabs>
        <w:ind w:left="3600" w:hanging="360"/>
      </w:pPr>
      <w:rPr>
        <w:rFonts w:ascii="Courier New" w:hAnsi="Courier New"/>
      </w:rPr>
    </w:lvl>
    <w:lvl w:ilvl="5" w:tplc="78F83ECA">
      <w:start w:val="1"/>
      <w:numFmt w:val="bullet"/>
      <w:lvlText w:val=""/>
      <w:lvlJc w:val="left"/>
      <w:pPr>
        <w:tabs>
          <w:tab w:val="num" w:pos="4320"/>
        </w:tabs>
        <w:ind w:left="4320" w:hanging="360"/>
      </w:pPr>
      <w:rPr>
        <w:rFonts w:ascii="Wingdings" w:hAnsi="Wingdings"/>
      </w:rPr>
    </w:lvl>
    <w:lvl w:ilvl="6" w:tplc="319478C4">
      <w:start w:val="1"/>
      <w:numFmt w:val="bullet"/>
      <w:lvlText w:val=""/>
      <w:lvlJc w:val="left"/>
      <w:pPr>
        <w:tabs>
          <w:tab w:val="num" w:pos="5040"/>
        </w:tabs>
        <w:ind w:left="5040" w:hanging="360"/>
      </w:pPr>
      <w:rPr>
        <w:rFonts w:ascii="Symbol" w:hAnsi="Symbol"/>
      </w:rPr>
    </w:lvl>
    <w:lvl w:ilvl="7" w:tplc="71D453CA">
      <w:start w:val="1"/>
      <w:numFmt w:val="bullet"/>
      <w:lvlText w:val="o"/>
      <w:lvlJc w:val="left"/>
      <w:pPr>
        <w:tabs>
          <w:tab w:val="num" w:pos="5760"/>
        </w:tabs>
        <w:ind w:left="5760" w:hanging="360"/>
      </w:pPr>
      <w:rPr>
        <w:rFonts w:ascii="Courier New" w:hAnsi="Courier New"/>
      </w:rPr>
    </w:lvl>
    <w:lvl w:ilvl="8" w:tplc="F56020CE">
      <w:start w:val="1"/>
      <w:numFmt w:val="bullet"/>
      <w:lvlText w:val=""/>
      <w:lvlJc w:val="left"/>
      <w:pPr>
        <w:tabs>
          <w:tab w:val="num" w:pos="6480"/>
        </w:tabs>
        <w:ind w:left="6480" w:hanging="360"/>
      </w:pPr>
      <w:rPr>
        <w:rFonts w:ascii="Wingdings" w:hAnsi="Wingdings"/>
      </w:rPr>
    </w:lvl>
  </w:abstractNum>
  <w:abstractNum w:abstractNumId="1" w15:restartNumberingAfterBreak="0">
    <w:nsid w:val="595B4A44"/>
    <w:multiLevelType w:val="hybridMultilevel"/>
    <w:tmpl w:val="341447DE"/>
    <w:lvl w:ilvl="0" w:tplc="79009AF6">
      <w:start w:val="1"/>
      <w:numFmt w:val="decimal"/>
      <w:lvlText w:val="%1."/>
      <w:lvlJc w:val="left"/>
      <w:pPr>
        <w:ind w:left="1080" w:hanging="360"/>
      </w:pPr>
      <w:rPr>
        <w:rFonts w:ascii="Swis721 Lt BT" w:hAnsi="Swis721 Lt BT" w:hint="default"/>
        <w:color w:val="0070C0"/>
        <w:u w:val="none"/>
      </w:rPr>
    </w:lvl>
    <w:lvl w:ilvl="1" w:tplc="78885D6C" w:tentative="1">
      <w:start w:val="1"/>
      <w:numFmt w:val="lowerLetter"/>
      <w:lvlText w:val="%2."/>
      <w:lvlJc w:val="left"/>
      <w:pPr>
        <w:ind w:left="1800" w:hanging="360"/>
      </w:pPr>
    </w:lvl>
    <w:lvl w:ilvl="2" w:tplc="5DF87548" w:tentative="1">
      <w:start w:val="1"/>
      <w:numFmt w:val="lowerRoman"/>
      <w:lvlText w:val="%3."/>
      <w:lvlJc w:val="right"/>
      <w:pPr>
        <w:ind w:left="2520" w:hanging="180"/>
      </w:pPr>
    </w:lvl>
    <w:lvl w:ilvl="3" w:tplc="BB625806" w:tentative="1">
      <w:start w:val="1"/>
      <w:numFmt w:val="decimal"/>
      <w:lvlText w:val="%4."/>
      <w:lvlJc w:val="left"/>
      <w:pPr>
        <w:ind w:left="3240" w:hanging="360"/>
      </w:pPr>
    </w:lvl>
    <w:lvl w:ilvl="4" w:tplc="7472AE5C" w:tentative="1">
      <w:start w:val="1"/>
      <w:numFmt w:val="lowerLetter"/>
      <w:lvlText w:val="%5."/>
      <w:lvlJc w:val="left"/>
      <w:pPr>
        <w:ind w:left="3960" w:hanging="360"/>
      </w:pPr>
    </w:lvl>
    <w:lvl w:ilvl="5" w:tplc="B5D8B13A" w:tentative="1">
      <w:start w:val="1"/>
      <w:numFmt w:val="lowerRoman"/>
      <w:lvlText w:val="%6."/>
      <w:lvlJc w:val="right"/>
      <w:pPr>
        <w:ind w:left="4680" w:hanging="180"/>
      </w:pPr>
    </w:lvl>
    <w:lvl w:ilvl="6" w:tplc="AD36A45E" w:tentative="1">
      <w:start w:val="1"/>
      <w:numFmt w:val="decimal"/>
      <w:lvlText w:val="%7."/>
      <w:lvlJc w:val="left"/>
      <w:pPr>
        <w:ind w:left="5400" w:hanging="360"/>
      </w:pPr>
    </w:lvl>
    <w:lvl w:ilvl="7" w:tplc="3B9C18F4" w:tentative="1">
      <w:start w:val="1"/>
      <w:numFmt w:val="lowerLetter"/>
      <w:lvlText w:val="%8."/>
      <w:lvlJc w:val="left"/>
      <w:pPr>
        <w:ind w:left="6120" w:hanging="360"/>
      </w:pPr>
    </w:lvl>
    <w:lvl w:ilvl="8" w:tplc="9CD2B9B8" w:tentative="1">
      <w:start w:val="1"/>
      <w:numFmt w:val="lowerRoman"/>
      <w:lvlText w:val="%9."/>
      <w:lvlJc w:val="right"/>
      <w:pPr>
        <w:ind w:left="6840" w:hanging="180"/>
      </w:pPr>
    </w:lvl>
  </w:abstractNum>
  <w:abstractNum w:abstractNumId="2" w15:restartNumberingAfterBreak="0">
    <w:nsid w:val="79115BD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D5C0299"/>
    <w:multiLevelType w:val="multilevel"/>
    <w:tmpl w:val="ED64DCE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Swis721 Lt BT" w:hAnsi="Swis721 Lt BT" w:hint="default"/>
        <w:b w:val="0"/>
        <w:bCs w:val="0"/>
        <w:sz w:val="20"/>
        <w:szCs w:val="2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569577623">
    <w:abstractNumId w:val="0"/>
  </w:num>
  <w:num w:numId="2" w16cid:durableId="1444687990">
    <w:abstractNumId w:val="1"/>
  </w:num>
  <w:num w:numId="3" w16cid:durableId="1242370452">
    <w:abstractNumId w:val="3"/>
  </w:num>
  <w:num w:numId="4" w16cid:durableId="656609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3"/>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yNzUyMzQ2MDYzMDZV0lEKTi0uzszPAykwrAUAupwoiCwAAAA="/>
  </w:docVars>
  <w:rsids>
    <w:rsidRoot w:val="0080288C"/>
    <w:rsid w:val="00093D9F"/>
    <w:rsid w:val="00194840"/>
    <w:rsid w:val="002B0869"/>
    <w:rsid w:val="004F15E1"/>
    <w:rsid w:val="004F1D00"/>
    <w:rsid w:val="005F32D9"/>
    <w:rsid w:val="006444B5"/>
    <w:rsid w:val="006F6BC9"/>
    <w:rsid w:val="00777B00"/>
    <w:rsid w:val="007E0CDA"/>
    <w:rsid w:val="0080288C"/>
    <w:rsid w:val="00826160"/>
    <w:rsid w:val="008A2A14"/>
    <w:rsid w:val="00903240"/>
    <w:rsid w:val="00A1798F"/>
    <w:rsid w:val="00AD6DAC"/>
    <w:rsid w:val="00AE3D51"/>
    <w:rsid w:val="00B41714"/>
    <w:rsid w:val="00BA27EF"/>
    <w:rsid w:val="00BE3474"/>
    <w:rsid w:val="00BE4710"/>
    <w:rsid w:val="00C53B81"/>
    <w:rsid w:val="00C54522"/>
    <w:rsid w:val="00C74115"/>
    <w:rsid w:val="00DC3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8CB29"/>
  <w15:docId w15:val="{56CC78E5-40E6-4691-9E0A-939C00A0E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59" w:lineRule="auto"/>
    </w:pPr>
    <w:rPr>
      <w:rFonts w:ascii="Calibri" w:eastAsia="Calibri" w:hAnsi="Calibri" w:cs="Calibri"/>
      <w:sz w:val="22"/>
      <w:szCs w:val="22"/>
    </w:rPr>
  </w:style>
  <w:style w:type="paragraph" w:styleId="Heading1">
    <w:name w:val="heading 1"/>
    <w:basedOn w:val="Normal"/>
    <w:next w:val="Normal"/>
    <w:link w:val="Heading1Char"/>
    <w:uiPriority w:val="9"/>
    <w:qFormat/>
    <w:rsid w:val="00506D7A"/>
    <w:pPr>
      <w:keepNext/>
      <w:keepLines/>
      <w:numPr>
        <w:numId w:val="3"/>
      </w:numPr>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numPr>
        <w:ilvl w:val="1"/>
        <w:numId w:val="3"/>
      </w:numPr>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numPr>
        <w:ilvl w:val="2"/>
        <w:numId w:val="3"/>
      </w:numPr>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numPr>
        <w:ilvl w:val="3"/>
        <w:numId w:val="3"/>
      </w:numPr>
      <w:spacing w:before="40"/>
      <w:outlineLvl w:val="3"/>
    </w:pPr>
    <w:rPr>
      <w:rFonts w:ascii="Times New Roman" w:eastAsia="Times New Roman" w:hAnsi="Times New Roman" w:cs="Times New Roman"/>
      <w:b/>
      <w:bCs/>
      <w:iCs/>
      <w:color w:val="2F5496"/>
      <w:sz w:val="24"/>
      <w:szCs w:val="24"/>
    </w:rPr>
  </w:style>
  <w:style w:type="paragraph" w:styleId="Heading5">
    <w:name w:val="heading 5"/>
    <w:basedOn w:val="Normal"/>
    <w:next w:val="Normal"/>
    <w:link w:val="Heading5Char"/>
    <w:uiPriority w:val="9"/>
    <w:qFormat/>
    <w:rsid w:val="00506D7A"/>
    <w:pPr>
      <w:keepNext/>
      <w:keepLines/>
      <w:numPr>
        <w:ilvl w:val="4"/>
        <w:numId w:val="3"/>
      </w:numPr>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numPr>
        <w:ilvl w:val="5"/>
        <w:numId w:val="3"/>
      </w:numPr>
      <w:spacing w:before="40"/>
      <w:outlineLvl w:val="5"/>
    </w:pPr>
    <w:rPr>
      <w:rFonts w:ascii="Times New Roman" w:eastAsia="Times New Roman" w:hAnsi="Times New Roman" w:cs="Times New Roman"/>
      <w:b/>
      <w:bCs/>
      <w:color w:val="1F3763"/>
      <w:sz w:val="16"/>
      <w:szCs w:val="16"/>
    </w:rPr>
  </w:style>
  <w:style w:type="paragraph" w:styleId="Heading7">
    <w:name w:val="heading 7"/>
    <w:basedOn w:val="Normal"/>
    <w:next w:val="Normal"/>
    <w:link w:val="Heading7Char"/>
    <w:uiPriority w:val="9"/>
    <w:semiHidden/>
    <w:unhideWhenUsed/>
    <w:qFormat/>
    <w:rsid w:val="00DC3A7B"/>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C3A7B"/>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C3A7B"/>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styleId="CommentReference">
    <w:name w:val="annotation reference"/>
    <w:basedOn w:val="DefaultParagraphFont"/>
    <w:uiPriority w:val="99"/>
    <w:semiHidden/>
    <w:unhideWhenUsed/>
    <w:rsid w:val="004F1D00"/>
    <w:rPr>
      <w:sz w:val="16"/>
      <w:szCs w:val="16"/>
    </w:rPr>
  </w:style>
  <w:style w:type="paragraph" w:styleId="CommentText">
    <w:name w:val="annotation text"/>
    <w:basedOn w:val="Normal"/>
    <w:link w:val="CommentTextChar"/>
    <w:uiPriority w:val="99"/>
    <w:unhideWhenUsed/>
    <w:rsid w:val="004F1D00"/>
    <w:pPr>
      <w:spacing w:line="240" w:lineRule="auto"/>
    </w:pPr>
    <w:rPr>
      <w:sz w:val="20"/>
      <w:szCs w:val="20"/>
    </w:rPr>
  </w:style>
  <w:style w:type="character" w:customStyle="1" w:styleId="CommentTextChar">
    <w:name w:val="Comment Text Char"/>
    <w:basedOn w:val="DefaultParagraphFont"/>
    <w:link w:val="CommentText"/>
    <w:uiPriority w:val="99"/>
    <w:rsid w:val="004F1D00"/>
    <w:rPr>
      <w:rFonts w:ascii="Calibri" w:eastAsia="Calibri" w:hAnsi="Calibri" w:cs="Calibri"/>
    </w:rPr>
  </w:style>
  <w:style w:type="paragraph" w:styleId="CommentSubject">
    <w:name w:val="annotation subject"/>
    <w:basedOn w:val="CommentText"/>
    <w:next w:val="CommentText"/>
    <w:link w:val="CommentSubjectChar"/>
    <w:uiPriority w:val="99"/>
    <w:semiHidden/>
    <w:unhideWhenUsed/>
    <w:rsid w:val="004F1D00"/>
    <w:rPr>
      <w:b/>
      <w:bCs/>
    </w:rPr>
  </w:style>
  <w:style w:type="character" w:customStyle="1" w:styleId="CommentSubjectChar">
    <w:name w:val="Comment Subject Char"/>
    <w:basedOn w:val="CommentTextChar"/>
    <w:link w:val="CommentSubject"/>
    <w:uiPriority w:val="99"/>
    <w:semiHidden/>
    <w:rsid w:val="004F1D00"/>
    <w:rPr>
      <w:rFonts w:ascii="Calibri" w:eastAsia="Calibri" w:hAnsi="Calibri" w:cs="Calibri"/>
      <w:b/>
      <w:bCs/>
    </w:rPr>
  </w:style>
  <w:style w:type="paragraph" w:styleId="Header">
    <w:name w:val="header"/>
    <w:basedOn w:val="Normal"/>
    <w:link w:val="HeaderChar"/>
    <w:uiPriority w:val="99"/>
    <w:unhideWhenUsed/>
    <w:rsid w:val="00C54522"/>
    <w:pPr>
      <w:tabs>
        <w:tab w:val="center" w:pos="4680"/>
        <w:tab w:val="right" w:pos="9360"/>
      </w:tabs>
      <w:spacing w:line="240" w:lineRule="auto"/>
    </w:pPr>
  </w:style>
  <w:style w:type="character" w:customStyle="1" w:styleId="HeaderChar">
    <w:name w:val="Header Char"/>
    <w:basedOn w:val="DefaultParagraphFont"/>
    <w:link w:val="Header"/>
    <w:uiPriority w:val="99"/>
    <w:rsid w:val="00C54522"/>
    <w:rPr>
      <w:rFonts w:ascii="Calibri" w:eastAsia="Calibri" w:hAnsi="Calibri" w:cs="Calibri"/>
      <w:sz w:val="22"/>
      <w:szCs w:val="22"/>
    </w:rPr>
  </w:style>
  <w:style w:type="paragraph" w:styleId="Footer">
    <w:name w:val="footer"/>
    <w:basedOn w:val="Normal"/>
    <w:link w:val="FooterChar"/>
    <w:uiPriority w:val="99"/>
    <w:unhideWhenUsed/>
    <w:rsid w:val="00C54522"/>
    <w:pPr>
      <w:tabs>
        <w:tab w:val="center" w:pos="4680"/>
        <w:tab w:val="right" w:pos="9360"/>
      </w:tabs>
      <w:spacing w:line="240" w:lineRule="auto"/>
    </w:pPr>
  </w:style>
  <w:style w:type="character" w:customStyle="1" w:styleId="FooterChar">
    <w:name w:val="Footer Char"/>
    <w:basedOn w:val="DefaultParagraphFont"/>
    <w:link w:val="Footer"/>
    <w:uiPriority w:val="99"/>
    <w:rsid w:val="00C54522"/>
    <w:rPr>
      <w:rFonts w:ascii="Calibri" w:eastAsia="Calibri" w:hAnsi="Calibri" w:cs="Calibri"/>
      <w:sz w:val="22"/>
      <w:szCs w:val="22"/>
    </w:rPr>
  </w:style>
  <w:style w:type="paragraph" w:styleId="ListParagraph">
    <w:name w:val="List Paragraph"/>
    <w:basedOn w:val="Normal"/>
    <w:uiPriority w:val="34"/>
    <w:qFormat/>
    <w:rsid w:val="00AD6DAC"/>
    <w:pPr>
      <w:ind w:left="720"/>
      <w:contextualSpacing/>
    </w:pPr>
  </w:style>
  <w:style w:type="character" w:customStyle="1" w:styleId="Heading7Char">
    <w:name w:val="Heading 7 Char"/>
    <w:basedOn w:val="DefaultParagraphFont"/>
    <w:link w:val="Heading7"/>
    <w:uiPriority w:val="9"/>
    <w:semiHidden/>
    <w:rsid w:val="00DC3A7B"/>
    <w:rPr>
      <w:rFonts w:asciiTheme="majorHAnsi" w:eastAsiaTheme="majorEastAsia" w:hAnsiTheme="majorHAnsi" w:cstheme="majorBidi"/>
      <w:i/>
      <w:iCs/>
      <w:color w:val="243F60" w:themeColor="accent1" w:themeShade="7F"/>
      <w:sz w:val="22"/>
      <w:szCs w:val="22"/>
    </w:rPr>
  </w:style>
  <w:style w:type="character" w:customStyle="1" w:styleId="Heading8Char">
    <w:name w:val="Heading 8 Char"/>
    <w:basedOn w:val="DefaultParagraphFont"/>
    <w:link w:val="Heading8"/>
    <w:uiPriority w:val="9"/>
    <w:semiHidden/>
    <w:rsid w:val="00DC3A7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C3A7B"/>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BA6CEF993CA04FBC861BABD861E725" ma:contentTypeVersion="16" ma:contentTypeDescription="Create a new document." ma:contentTypeScope="" ma:versionID="7cbd050d6306f97f81214fbde4eeb371">
  <xsd:schema xmlns:xsd="http://www.w3.org/2001/XMLSchema" xmlns:xs="http://www.w3.org/2001/XMLSchema" xmlns:p="http://schemas.microsoft.com/office/2006/metadata/properties" xmlns:ns2="556b9c53-bd0d-4f42-a6c8-cb40549b622a" xmlns:ns3="594b38c5-5d87-4706-a46f-f842ec33131b" targetNamespace="http://schemas.microsoft.com/office/2006/metadata/properties" ma:root="true" ma:fieldsID="a96b3159021c3ab7a6913c4d5ee98b7b" ns2:_="" ns3:_="">
    <xsd:import namespace="556b9c53-bd0d-4f42-a6c8-cb40549b622a"/>
    <xsd:import namespace="594b38c5-5d87-4706-a46f-f842ec3313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b9c53-bd0d-4f42-a6c8-cb40549b62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6b12a51-2bd6-40d8-b52b-995f07bc53f2}" ma:internalName="TaxCatchAll" ma:showField="CatchAllData" ma:web="556b9c53-bd0d-4f42-a6c8-cb40549b62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4b38c5-5d87-4706-a46f-f842ec3313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description="" ma:indexed="true"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57303b8-e139-4625-a0cf-7f79d2d67b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24067E-9BF6-45D4-B64D-26C409080AF1}"/>
</file>

<file path=customXml/itemProps2.xml><?xml version="1.0" encoding="utf-8"?>
<ds:datastoreItem xmlns:ds="http://schemas.openxmlformats.org/officeDocument/2006/customXml" ds:itemID="{378306D7-2C8F-4684-B12D-0D80E10B7D83}"/>
</file>

<file path=docProps/app.xml><?xml version="1.0" encoding="utf-8"?>
<Properties xmlns="http://schemas.openxmlformats.org/officeDocument/2006/extended-properties" xmlns:vt="http://schemas.openxmlformats.org/officeDocument/2006/docPropsVTypes">
  <Template>Normal.dotm</Template>
  <TotalTime>0</TotalTime>
  <Pages>1</Pages>
  <Words>525</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 Ashley</dc:creator>
  <cp:lastModifiedBy>HeeJin Kim</cp:lastModifiedBy>
  <cp:revision>3</cp:revision>
  <dcterms:created xsi:type="dcterms:W3CDTF">2024-09-29T23:35:00Z</dcterms:created>
  <dcterms:modified xsi:type="dcterms:W3CDTF">2024-10-03T21:48:00Z</dcterms:modified>
</cp:coreProperties>
</file>