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FB3ADF" w14:textId="78E40D58" w:rsidR="004723A6" w:rsidRPr="00C20181" w:rsidRDefault="00EF4015" w:rsidP="00A61B85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C20181">
        <w:rPr>
          <w:rFonts w:ascii="Garamond" w:hAnsi="Garamond"/>
          <w:b/>
          <w:sz w:val="24"/>
          <w:szCs w:val="24"/>
        </w:rPr>
        <w:t xml:space="preserve">Loan </w:t>
      </w:r>
      <w:r w:rsidR="00051897" w:rsidRPr="00C20181">
        <w:rPr>
          <w:rFonts w:ascii="Garamond" w:hAnsi="Garamond"/>
          <w:b/>
          <w:sz w:val="24"/>
          <w:szCs w:val="24"/>
        </w:rPr>
        <w:t xml:space="preserve">Approval </w:t>
      </w:r>
      <w:r w:rsidR="004D4613" w:rsidRPr="00C20181">
        <w:rPr>
          <w:rFonts w:ascii="Garamond" w:hAnsi="Garamond"/>
          <w:b/>
          <w:sz w:val="24"/>
          <w:szCs w:val="24"/>
        </w:rPr>
        <w:t>Recommendation Summary</w:t>
      </w:r>
      <w:r w:rsidR="00F24EE5" w:rsidRPr="00C20181">
        <w:rPr>
          <w:rFonts w:ascii="Garamond" w:hAnsi="Garamond"/>
          <w:b/>
          <w:sz w:val="24"/>
          <w:szCs w:val="24"/>
        </w:rPr>
        <w:t xml:space="preserve"> –</w:t>
      </w:r>
      <w:r w:rsidR="00051897" w:rsidRPr="00C20181">
        <w:rPr>
          <w:rFonts w:ascii="Garamond" w:hAnsi="Garamond"/>
          <w:b/>
          <w:sz w:val="24"/>
          <w:szCs w:val="24"/>
        </w:rPr>
        <w:t xml:space="preserve"> </w:t>
      </w:r>
      <w:r w:rsidR="00156BB6">
        <w:rPr>
          <w:rFonts w:ascii="Garamond" w:hAnsi="Garamond"/>
          <w:b/>
          <w:sz w:val="24"/>
          <w:szCs w:val="24"/>
        </w:rPr>
        <w:t>Lincoln Lofts</w:t>
      </w:r>
    </w:p>
    <w:p w14:paraId="1D0E2FAA" w14:textId="77E983B6" w:rsidR="00C72F54" w:rsidRPr="00C20181" w:rsidRDefault="00C72F54" w:rsidP="00A61B85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C20181">
        <w:rPr>
          <w:rFonts w:ascii="Garamond" w:hAnsi="Garamond"/>
          <w:b/>
          <w:sz w:val="24"/>
          <w:szCs w:val="24"/>
        </w:rPr>
        <w:t>Preliminary</w:t>
      </w:r>
      <w:r w:rsidR="00EF4015" w:rsidRPr="00C20181">
        <w:rPr>
          <w:rFonts w:ascii="Garamond" w:hAnsi="Garamond"/>
          <w:b/>
          <w:sz w:val="24"/>
          <w:szCs w:val="24"/>
        </w:rPr>
        <w:t>:</w:t>
      </w:r>
      <w:r w:rsidRPr="00C20181">
        <w:rPr>
          <w:rFonts w:ascii="Garamond" w:hAnsi="Garamond"/>
          <w:b/>
          <w:sz w:val="24"/>
          <w:szCs w:val="24"/>
        </w:rPr>
        <w:t xml:space="preserve"> </w:t>
      </w:r>
      <w:r w:rsidR="00A61B85" w:rsidRPr="00C20181">
        <w:rPr>
          <w:rFonts w:ascii="Garamond" w:hAnsi="Garamond"/>
          <w:b/>
          <w:sz w:val="24"/>
          <w:szCs w:val="24"/>
          <w:u w:val="single"/>
        </w:rPr>
        <w:t>___</w:t>
      </w:r>
    </w:p>
    <w:p w14:paraId="44475E81" w14:textId="24915EAB" w:rsidR="00C72F54" w:rsidRPr="00C20181" w:rsidRDefault="00C72F54" w:rsidP="00A61B85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C20181">
        <w:rPr>
          <w:rFonts w:ascii="Garamond" w:hAnsi="Garamond"/>
          <w:b/>
          <w:sz w:val="24"/>
          <w:szCs w:val="24"/>
        </w:rPr>
        <w:t>Firm</w:t>
      </w:r>
      <w:r w:rsidR="00EF4015" w:rsidRPr="00C20181">
        <w:rPr>
          <w:rFonts w:ascii="Garamond" w:hAnsi="Garamond"/>
          <w:b/>
          <w:sz w:val="24"/>
          <w:szCs w:val="24"/>
        </w:rPr>
        <w:t>:</w:t>
      </w:r>
      <w:r w:rsidR="00A61B85" w:rsidRPr="00C20181">
        <w:rPr>
          <w:rFonts w:ascii="Garamond" w:hAnsi="Garamond"/>
          <w:b/>
          <w:sz w:val="24"/>
          <w:szCs w:val="24"/>
        </w:rPr>
        <w:t xml:space="preserve"> </w:t>
      </w:r>
      <w:r w:rsidR="00A61B85" w:rsidRPr="00C20181">
        <w:rPr>
          <w:rFonts w:ascii="Garamond" w:hAnsi="Garamond"/>
          <w:b/>
          <w:sz w:val="24"/>
          <w:szCs w:val="24"/>
          <w:u w:val="single"/>
        </w:rPr>
        <w:t>_</w:t>
      </w:r>
      <w:r w:rsidR="00AD5C3C">
        <w:rPr>
          <w:rFonts w:ascii="Garamond" w:hAnsi="Garamond"/>
          <w:b/>
          <w:sz w:val="24"/>
          <w:szCs w:val="24"/>
          <w:u w:val="single"/>
        </w:rPr>
        <w:t>X</w:t>
      </w:r>
      <w:r w:rsidR="00F70029">
        <w:rPr>
          <w:rFonts w:ascii="Garamond" w:hAnsi="Garamond"/>
          <w:b/>
          <w:sz w:val="24"/>
          <w:szCs w:val="24"/>
          <w:u w:val="single"/>
        </w:rPr>
        <w:t>_</w:t>
      </w:r>
    </w:p>
    <w:p w14:paraId="15802151" w14:textId="72C4A31C" w:rsidR="00DA4958" w:rsidRPr="00C20181" w:rsidRDefault="00716047" w:rsidP="00A61B8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20181">
        <w:rPr>
          <w:rFonts w:ascii="Garamond" w:hAnsi="Garamond"/>
          <w:b/>
          <w:sz w:val="24"/>
          <w:szCs w:val="24"/>
        </w:rPr>
        <w:t>Date</w:t>
      </w:r>
      <w:r w:rsidR="00A57896" w:rsidRPr="00C20181">
        <w:rPr>
          <w:rFonts w:ascii="Garamond" w:hAnsi="Garamond"/>
          <w:b/>
          <w:sz w:val="24"/>
          <w:szCs w:val="24"/>
        </w:rPr>
        <w:t>:</w:t>
      </w:r>
      <w:r w:rsidR="000C61B9">
        <w:rPr>
          <w:rFonts w:ascii="Garamond" w:hAnsi="Garamond"/>
          <w:b/>
          <w:sz w:val="24"/>
          <w:szCs w:val="24"/>
        </w:rPr>
        <w:t xml:space="preserve"> </w:t>
      </w:r>
      <w:r w:rsidR="00156BB6">
        <w:rPr>
          <w:rFonts w:ascii="Garamond" w:hAnsi="Garamond"/>
          <w:b/>
          <w:bCs/>
          <w:sz w:val="24"/>
          <w:szCs w:val="24"/>
        </w:rPr>
        <w:t>October 21, 2021</w:t>
      </w:r>
    </w:p>
    <w:p w14:paraId="05D1F4A7" w14:textId="77777777" w:rsidR="00EF4015" w:rsidRPr="00C20181" w:rsidRDefault="00EF4015" w:rsidP="00A61B85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983D18C" w14:textId="2C9C06CA" w:rsidR="00F54018" w:rsidRPr="00174F19" w:rsidRDefault="00EA5911" w:rsidP="00DF546E">
      <w:pPr>
        <w:spacing w:line="240" w:lineRule="auto"/>
        <w:jc w:val="both"/>
        <w:rPr>
          <w:rFonts w:ascii="Garamond" w:hAnsi="Garamond"/>
          <w:sz w:val="24"/>
          <w:szCs w:val="24"/>
        </w:rPr>
      </w:pPr>
      <w:r w:rsidRPr="00096253">
        <w:rPr>
          <w:rFonts w:ascii="Garamond" w:hAnsi="Garamond"/>
          <w:b/>
          <w:bCs/>
          <w:sz w:val="24"/>
          <w:szCs w:val="24"/>
        </w:rPr>
        <w:t>Project</w:t>
      </w:r>
      <w:r w:rsidR="00174F19">
        <w:rPr>
          <w:rFonts w:ascii="Garamond" w:hAnsi="Garamond"/>
          <w:b/>
          <w:bCs/>
          <w:sz w:val="24"/>
          <w:szCs w:val="24"/>
        </w:rPr>
        <w:t>:</w:t>
      </w:r>
      <w:r w:rsidR="000C61B9">
        <w:rPr>
          <w:rFonts w:ascii="Garamond" w:hAnsi="Garamond"/>
          <w:sz w:val="24"/>
          <w:szCs w:val="24"/>
        </w:rPr>
        <w:t xml:space="preserve"> </w:t>
      </w:r>
      <w:r w:rsidR="00174F19">
        <w:rPr>
          <w:rFonts w:ascii="Garamond" w:hAnsi="Garamond"/>
          <w:sz w:val="24"/>
          <w:szCs w:val="24"/>
        </w:rPr>
        <w:t>Lincoln Lofts is a recently completed historic mill conversion with 45 units of affordable housing.</w:t>
      </w:r>
      <w:r w:rsidR="000C61B9">
        <w:rPr>
          <w:rFonts w:ascii="Garamond" w:hAnsi="Garamond"/>
          <w:sz w:val="24"/>
          <w:szCs w:val="24"/>
        </w:rPr>
        <w:t xml:space="preserve"> </w:t>
      </w:r>
      <w:r w:rsidR="00174F19">
        <w:rPr>
          <w:rFonts w:ascii="Garamond" w:hAnsi="Garamond"/>
          <w:sz w:val="24"/>
          <w:szCs w:val="24"/>
        </w:rPr>
        <w:t>The unit configuration is 30 one-bedroom units and 15 two-bedroom units.</w:t>
      </w:r>
      <w:r w:rsidR="000C61B9">
        <w:rPr>
          <w:rFonts w:ascii="Garamond" w:hAnsi="Garamond"/>
          <w:sz w:val="24"/>
          <w:szCs w:val="24"/>
        </w:rPr>
        <w:t xml:space="preserve"> </w:t>
      </w:r>
      <w:r w:rsidR="00174F19">
        <w:rPr>
          <w:rFonts w:ascii="Garamond" w:hAnsi="Garamond"/>
          <w:sz w:val="24"/>
          <w:szCs w:val="24"/>
        </w:rPr>
        <w:t xml:space="preserve">Construction was completed in November 2020 and the property has been 100% occupied since </w:t>
      </w:r>
      <w:r w:rsidR="00892896">
        <w:rPr>
          <w:rFonts w:ascii="Garamond" w:hAnsi="Garamond"/>
          <w:sz w:val="24"/>
          <w:szCs w:val="24"/>
        </w:rPr>
        <w:t xml:space="preserve">February </w:t>
      </w:r>
      <w:r w:rsidR="00174F19">
        <w:rPr>
          <w:rFonts w:ascii="Garamond" w:hAnsi="Garamond"/>
          <w:sz w:val="24"/>
          <w:szCs w:val="24"/>
        </w:rPr>
        <w:t>2021.</w:t>
      </w:r>
      <w:r w:rsidR="00265123">
        <w:rPr>
          <w:rFonts w:ascii="Garamond" w:hAnsi="Garamond"/>
          <w:sz w:val="24"/>
          <w:szCs w:val="24"/>
        </w:rPr>
        <w:t xml:space="preserve"> </w:t>
      </w:r>
      <w:r w:rsidR="00852572">
        <w:rPr>
          <w:rFonts w:ascii="Garamond" w:hAnsi="Garamond"/>
          <w:sz w:val="24"/>
          <w:szCs w:val="24"/>
        </w:rPr>
        <w:t>This request is to increase the RIHousing first mortgage to $1,000,000.</w:t>
      </w:r>
      <w:r w:rsidR="000C61B9">
        <w:rPr>
          <w:rFonts w:ascii="Garamond" w:hAnsi="Garamond"/>
          <w:sz w:val="24"/>
          <w:szCs w:val="24"/>
        </w:rPr>
        <w:t xml:space="preserve"> </w:t>
      </w:r>
      <w:r w:rsidR="00852572">
        <w:rPr>
          <w:rFonts w:ascii="Garamond" w:hAnsi="Garamond"/>
          <w:sz w:val="24"/>
          <w:szCs w:val="24"/>
        </w:rPr>
        <w:t xml:space="preserve">The $300,000 increase </w:t>
      </w:r>
      <w:r w:rsidR="004D1812">
        <w:rPr>
          <w:rFonts w:ascii="Garamond" w:hAnsi="Garamond"/>
          <w:sz w:val="24"/>
          <w:szCs w:val="24"/>
        </w:rPr>
        <w:t>is necessitated by increased development costs.</w:t>
      </w:r>
      <w:r w:rsidR="000C61B9">
        <w:rPr>
          <w:rFonts w:ascii="Garamond" w:hAnsi="Garamond"/>
          <w:sz w:val="24"/>
          <w:szCs w:val="24"/>
        </w:rPr>
        <w:t xml:space="preserve"> </w:t>
      </w:r>
    </w:p>
    <w:p w14:paraId="552B9871" w14:textId="2817B40E" w:rsidR="001A7DF4" w:rsidRPr="00C20181" w:rsidRDefault="001A7DF4" w:rsidP="00A61B85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  <w:r w:rsidRPr="00C20181">
        <w:rPr>
          <w:rFonts w:ascii="Garamond" w:hAnsi="Garamond"/>
          <w:b/>
          <w:bCs/>
          <w:sz w:val="24"/>
          <w:szCs w:val="24"/>
        </w:rPr>
        <w:t>Development Team</w:t>
      </w:r>
    </w:p>
    <w:p w14:paraId="3063586D" w14:textId="6E44112E" w:rsidR="001A7DF4" w:rsidRPr="00C20181" w:rsidRDefault="001A7DF4" w:rsidP="00A61B85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2244"/>
        <w:gridCol w:w="3061"/>
        <w:gridCol w:w="2880"/>
        <w:gridCol w:w="1440"/>
      </w:tblGrid>
      <w:tr w:rsidR="00DF546E" w:rsidRPr="00C20181" w14:paraId="510832F5" w14:textId="77777777" w:rsidTr="00174F19">
        <w:tc>
          <w:tcPr>
            <w:tcW w:w="2244" w:type="dxa"/>
          </w:tcPr>
          <w:p w14:paraId="2416C6CC" w14:textId="77777777" w:rsidR="003130DA" w:rsidRPr="00C20181" w:rsidRDefault="003130DA" w:rsidP="00A61B85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  <w:tc>
          <w:tcPr>
            <w:tcW w:w="3061" w:type="dxa"/>
          </w:tcPr>
          <w:p w14:paraId="18D54E90" w14:textId="1D96F7FA" w:rsidR="003130DA" w:rsidRPr="00C20181" w:rsidRDefault="00C533BE" w:rsidP="005748C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/>
                <w:bCs/>
                <w:sz w:val="24"/>
                <w:szCs w:val="24"/>
              </w:rPr>
              <w:t>N</w:t>
            </w:r>
            <w:r w:rsidR="00AB2F39" w:rsidRPr="00C20181">
              <w:rPr>
                <w:rFonts w:ascii="Garamond" w:hAnsi="Garamond"/>
                <w:b/>
                <w:bCs/>
                <w:sz w:val="24"/>
                <w:szCs w:val="24"/>
              </w:rPr>
              <w:t>ame</w:t>
            </w:r>
          </w:p>
        </w:tc>
        <w:tc>
          <w:tcPr>
            <w:tcW w:w="2880" w:type="dxa"/>
          </w:tcPr>
          <w:p w14:paraId="4A33BB9C" w14:textId="3F5DBE7E" w:rsidR="003130DA" w:rsidRPr="00C20181" w:rsidRDefault="00AB2F39" w:rsidP="005748C1">
            <w:pPr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/>
                <w:bCs/>
                <w:sz w:val="24"/>
                <w:szCs w:val="24"/>
              </w:rPr>
              <w:t>Location</w:t>
            </w:r>
          </w:p>
        </w:tc>
        <w:tc>
          <w:tcPr>
            <w:tcW w:w="1440" w:type="dxa"/>
          </w:tcPr>
          <w:p w14:paraId="3DB12C95" w14:textId="4FA7E811" w:rsidR="003130DA" w:rsidRPr="00C20181" w:rsidRDefault="00AB2F39" w:rsidP="00A61B85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/>
                <w:bCs/>
                <w:sz w:val="24"/>
                <w:szCs w:val="24"/>
              </w:rPr>
              <w:t>Risk Rating</w:t>
            </w:r>
          </w:p>
        </w:tc>
      </w:tr>
      <w:tr w:rsidR="00DF546E" w:rsidRPr="00C20181" w14:paraId="24F1E576" w14:textId="77777777" w:rsidTr="00174F19">
        <w:tc>
          <w:tcPr>
            <w:tcW w:w="2244" w:type="dxa"/>
          </w:tcPr>
          <w:p w14:paraId="681A258C" w14:textId="58E27F10" w:rsidR="00C533BE" w:rsidRPr="00C20181" w:rsidRDefault="00C533BE" w:rsidP="00A61B85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/>
                <w:bCs/>
                <w:sz w:val="24"/>
                <w:szCs w:val="24"/>
              </w:rPr>
              <w:t>Sponsor/Developer</w:t>
            </w:r>
          </w:p>
        </w:tc>
        <w:tc>
          <w:tcPr>
            <w:tcW w:w="3061" w:type="dxa"/>
          </w:tcPr>
          <w:p w14:paraId="24FDF619" w14:textId="002F1F06" w:rsidR="00C533BE" w:rsidRPr="00C20181" w:rsidRDefault="000A0FCD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Dakota Partners Inc.</w:t>
            </w:r>
          </w:p>
        </w:tc>
        <w:tc>
          <w:tcPr>
            <w:tcW w:w="2880" w:type="dxa"/>
            <w:vAlign w:val="center"/>
          </w:tcPr>
          <w:p w14:paraId="1C0E0E3E" w14:textId="22A52019" w:rsidR="00C533BE" w:rsidRPr="00C20181" w:rsidRDefault="000A0FCD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Waltham, MA</w:t>
            </w:r>
          </w:p>
        </w:tc>
        <w:tc>
          <w:tcPr>
            <w:tcW w:w="1440" w:type="dxa"/>
          </w:tcPr>
          <w:p w14:paraId="4E1F61A5" w14:textId="2572BB69" w:rsidR="00C533BE" w:rsidRPr="00C20181" w:rsidRDefault="000A0FCD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Low</w:t>
            </w:r>
          </w:p>
        </w:tc>
      </w:tr>
      <w:tr w:rsidR="00DF546E" w:rsidRPr="00C20181" w14:paraId="7D21078B" w14:textId="77777777" w:rsidTr="00174F19">
        <w:tc>
          <w:tcPr>
            <w:tcW w:w="2244" w:type="dxa"/>
          </w:tcPr>
          <w:p w14:paraId="6EFCB6A2" w14:textId="22A18D79" w:rsidR="00C533BE" w:rsidRPr="00C20181" w:rsidRDefault="00C533BE" w:rsidP="00A61B85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/>
                <w:bCs/>
                <w:sz w:val="24"/>
                <w:szCs w:val="24"/>
              </w:rPr>
              <w:t>Mortgagor</w:t>
            </w:r>
          </w:p>
        </w:tc>
        <w:tc>
          <w:tcPr>
            <w:tcW w:w="3061" w:type="dxa"/>
          </w:tcPr>
          <w:p w14:paraId="280DD872" w14:textId="07361826" w:rsidR="00C533BE" w:rsidRPr="00C20181" w:rsidRDefault="0010446A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LL Owner, LLC</w:t>
            </w:r>
          </w:p>
        </w:tc>
        <w:tc>
          <w:tcPr>
            <w:tcW w:w="2880" w:type="dxa"/>
            <w:vAlign w:val="center"/>
          </w:tcPr>
          <w:p w14:paraId="74054890" w14:textId="373A1D31" w:rsidR="00C533BE" w:rsidRPr="00C20181" w:rsidRDefault="0010446A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Waltham, MA</w:t>
            </w:r>
          </w:p>
        </w:tc>
        <w:tc>
          <w:tcPr>
            <w:tcW w:w="1440" w:type="dxa"/>
          </w:tcPr>
          <w:p w14:paraId="6FF74BBA" w14:textId="3B44F6FD" w:rsidR="00C533BE" w:rsidRPr="00C20181" w:rsidRDefault="00892896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Low</w:t>
            </w:r>
          </w:p>
        </w:tc>
      </w:tr>
      <w:tr w:rsidR="00DF546E" w:rsidRPr="00C20181" w14:paraId="3CEFB072" w14:textId="77777777" w:rsidTr="00174F19">
        <w:tc>
          <w:tcPr>
            <w:tcW w:w="2244" w:type="dxa"/>
          </w:tcPr>
          <w:p w14:paraId="772B4BC4" w14:textId="79D252D1" w:rsidR="00C533BE" w:rsidRPr="00C20181" w:rsidRDefault="00C533BE" w:rsidP="00A61B85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/>
                <w:bCs/>
                <w:sz w:val="24"/>
                <w:szCs w:val="24"/>
              </w:rPr>
              <w:t>Architect</w:t>
            </w:r>
          </w:p>
        </w:tc>
        <w:tc>
          <w:tcPr>
            <w:tcW w:w="3061" w:type="dxa"/>
          </w:tcPr>
          <w:p w14:paraId="3D93A0E2" w14:textId="5FC40965" w:rsidR="00C533BE" w:rsidRPr="00C20181" w:rsidRDefault="0010446A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Ed Wojcik Architect</w:t>
            </w:r>
            <w:r w:rsidR="00DB7C21">
              <w:rPr>
                <w:rFonts w:ascii="Garamond" w:hAnsi="Garamond"/>
                <w:sz w:val="24"/>
                <w:szCs w:val="24"/>
              </w:rPr>
              <w:t>, Ltd.</w:t>
            </w:r>
          </w:p>
        </w:tc>
        <w:tc>
          <w:tcPr>
            <w:tcW w:w="2880" w:type="dxa"/>
            <w:vAlign w:val="center"/>
          </w:tcPr>
          <w:p w14:paraId="395DF921" w14:textId="6F4F7510" w:rsidR="00C533BE" w:rsidRPr="00C20181" w:rsidRDefault="0010446A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Providence, RI</w:t>
            </w:r>
          </w:p>
        </w:tc>
        <w:tc>
          <w:tcPr>
            <w:tcW w:w="1440" w:type="dxa"/>
          </w:tcPr>
          <w:p w14:paraId="53068A2D" w14:textId="2C2E08C1" w:rsidR="00C533BE" w:rsidRPr="00C20181" w:rsidRDefault="0010446A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Low</w:t>
            </w:r>
          </w:p>
        </w:tc>
      </w:tr>
      <w:tr w:rsidR="00DF546E" w:rsidRPr="00C20181" w14:paraId="5920A42D" w14:textId="77777777" w:rsidTr="00174F19">
        <w:tc>
          <w:tcPr>
            <w:tcW w:w="2244" w:type="dxa"/>
          </w:tcPr>
          <w:p w14:paraId="5250E5EC" w14:textId="127CBCCE" w:rsidR="00C533BE" w:rsidRPr="00C20181" w:rsidRDefault="00C533BE" w:rsidP="00A61B85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/>
                <w:bCs/>
                <w:sz w:val="24"/>
                <w:szCs w:val="24"/>
              </w:rPr>
              <w:t>General Contractor</w:t>
            </w:r>
          </w:p>
        </w:tc>
        <w:tc>
          <w:tcPr>
            <w:tcW w:w="3061" w:type="dxa"/>
          </w:tcPr>
          <w:p w14:paraId="0769ECBB" w14:textId="3CEBCA2F" w:rsidR="00C533BE" w:rsidRPr="00C20181" w:rsidRDefault="0010446A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Dakota Partners Inc.</w:t>
            </w:r>
          </w:p>
        </w:tc>
        <w:tc>
          <w:tcPr>
            <w:tcW w:w="2880" w:type="dxa"/>
            <w:vAlign w:val="center"/>
          </w:tcPr>
          <w:p w14:paraId="4EB245C4" w14:textId="2DF35508" w:rsidR="00C533BE" w:rsidRPr="00C20181" w:rsidRDefault="0010446A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Waltham, MA</w:t>
            </w:r>
          </w:p>
        </w:tc>
        <w:tc>
          <w:tcPr>
            <w:tcW w:w="1440" w:type="dxa"/>
          </w:tcPr>
          <w:p w14:paraId="049166C7" w14:textId="226EF52D" w:rsidR="00C533BE" w:rsidRPr="00C20181" w:rsidRDefault="0010446A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Low</w:t>
            </w:r>
          </w:p>
        </w:tc>
      </w:tr>
      <w:tr w:rsidR="00DF546E" w:rsidRPr="00C20181" w14:paraId="60E9A2DA" w14:textId="77777777" w:rsidTr="00174F19">
        <w:trPr>
          <w:trHeight w:val="242"/>
        </w:trPr>
        <w:tc>
          <w:tcPr>
            <w:tcW w:w="2244" w:type="dxa"/>
          </w:tcPr>
          <w:p w14:paraId="544741EA" w14:textId="06E82B47" w:rsidR="00C533BE" w:rsidRPr="00C20181" w:rsidRDefault="00C533BE" w:rsidP="00A61B85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/>
                <w:bCs/>
                <w:sz w:val="24"/>
                <w:szCs w:val="24"/>
              </w:rPr>
              <w:t>Legal</w:t>
            </w:r>
          </w:p>
        </w:tc>
        <w:tc>
          <w:tcPr>
            <w:tcW w:w="3061" w:type="dxa"/>
          </w:tcPr>
          <w:p w14:paraId="074DFDA4" w14:textId="2EEEF745" w:rsidR="00C533BE" w:rsidRPr="00C20181" w:rsidRDefault="0010446A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Sheehan Phinney</w:t>
            </w:r>
          </w:p>
        </w:tc>
        <w:tc>
          <w:tcPr>
            <w:tcW w:w="2880" w:type="dxa"/>
            <w:vAlign w:val="center"/>
          </w:tcPr>
          <w:p w14:paraId="2BD117B7" w14:textId="413CEEC3" w:rsidR="00C533BE" w:rsidRPr="00C20181" w:rsidRDefault="0010446A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Manchester, NH</w:t>
            </w:r>
          </w:p>
        </w:tc>
        <w:tc>
          <w:tcPr>
            <w:tcW w:w="1440" w:type="dxa"/>
          </w:tcPr>
          <w:p w14:paraId="4CB8999B" w14:textId="58498A23" w:rsidR="00C533BE" w:rsidRPr="00C20181" w:rsidRDefault="0010446A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Low</w:t>
            </w:r>
          </w:p>
        </w:tc>
      </w:tr>
      <w:tr w:rsidR="00DF546E" w:rsidRPr="00C20181" w14:paraId="642AE862" w14:textId="77777777" w:rsidTr="00174F19">
        <w:tc>
          <w:tcPr>
            <w:tcW w:w="2244" w:type="dxa"/>
          </w:tcPr>
          <w:p w14:paraId="7E197356" w14:textId="44174225" w:rsidR="00C533BE" w:rsidRPr="00C20181" w:rsidRDefault="00C533BE" w:rsidP="00A61B85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/>
                <w:bCs/>
                <w:sz w:val="24"/>
                <w:szCs w:val="24"/>
              </w:rPr>
              <w:t>Management Agent</w:t>
            </w:r>
          </w:p>
        </w:tc>
        <w:tc>
          <w:tcPr>
            <w:tcW w:w="3061" w:type="dxa"/>
          </w:tcPr>
          <w:p w14:paraId="486DD567" w14:textId="262CADEA" w:rsidR="00C533BE" w:rsidRPr="00C20181" w:rsidRDefault="0010446A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Maloney Properties</w:t>
            </w:r>
            <w:r w:rsidR="001F0B7C">
              <w:rPr>
                <w:rFonts w:ascii="Garamond" w:hAnsi="Garamond"/>
                <w:sz w:val="24"/>
                <w:szCs w:val="24"/>
              </w:rPr>
              <w:t>, Inc.</w:t>
            </w:r>
          </w:p>
        </w:tc>
        <w:tc>
          <w:tcPr>
            <w:tcW w:w="2880" w:type="dxa"/>
            <w:vAlign w:val="center"/>
          </w:tcPr>
          <w:p w14:paraId="14BD2D52" w14:textId="164E600B" w:rsidR="00C533BE" w:rsidRPr="00C20181" w:rsidRDefault="0010446A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Wellesley, MA</w:t>
            </w:r>
          </w:p>
        </w:tc>
        <w:tc>
          <w:tcPr>
            <w:tcW w:w="1440" w:type="dxa"/>
          </w:tcPr>
          <w:p w14:paraId="316AAAE5" w14:textId="600A54BE" w:rsidR="00C533BE" w:rsidRPr="00C20181" w:rsidRDefault="0010446A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Low</w:t>
            </w:r>
          </w:p>
        </w:tc>
      </w:tr>
      <w:tr w:rsidR="00DF546E" w:rsidRPr="00C20181" w14:paraId="454EB02F" w14:textId="77777777" w:rsidTr="00174F19">
        <w:tc>
          <w:tcPr>
            <w:tcW w:w="2244" w:type="dxa"/>
          </w:tcPr>
          <w:p w14:paraId="5D21E598" w14:textId="36EBBBDB" w:rsidR="00C533BE" w:rsidRPr="00C20181" w:rsidRDefault="00C533BE" w:rsidP="00A61B85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/>
                <w:bCs/>
                <w:sz w:val="24"/>
                <w:szCs w:val="24"/>
              </w:rPr>
              <w:t>Consultant</w:t>
            </w:r>
          </w:p>
        </w:tc>
        <w:tc>
          <w:tcPr>
            <w:tcW w:w="3061" w:type="dxa"/>
          </w:tcPr>
          <w:p w14:paraId="7C512FF0" w14:textId="10C7DC96" w:rsidR="00C533BE" w:rsidRPr="00C20181" w:rsidRDefault="0010446A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NA</w:t>
            </w:r>
          </w:p>
        </w:tc>
        <w:tc>
          <w:tcPr>
            <w:tcW w:w="2880" w:type="dxa"/>
            <w:vAlign w:val="center"/>
          </w:tcPr>
          <w:p w14:paraId="128A240E" w14:textId="61916E86" w:rsidR="00C533BE" w:rsidRPr="00C20181" w:rsidRDefault="00265123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NA</w:t>
            </w:r>
          </w:p>
        </w:tc>
        <w:tc>
          <w:tcPr>
            <w:tcW w:w="1440" w:type="dxa"/>
          </w:tcPr>
          <w:p w14:paraId="7871EAEE" w14:textId="651870C1" w:rsidR="00C533BE" w:rsidRPr="00C20181" w:rsidRDefault="00265123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NA</w:t>
            </w:r>
          </w:p>
        </w:tc>
      </w:tr>
      <w:tr w:rsidR="00DF546E" w:rsidRPr="00C20181" w14:paraId="72233F2F" w14:textId="77777777" w:rsidTr="00174F19">
        <w:tc>
          <w:tcPr>
            <w:tcW w:w="2244" w:type="dxa"/>
          </w:tcPr>
          <w:p w14:paraId="786EEE89" w14:textId="4D236AD0" w:rsidR="00C533BE" w:rsidRPr="00C20181" w:rsidRDefault="00C533BE" w:rsidP="00A61B85">
            <w:pPr>
              <w:jc w:val="both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/>
                <w:bCs/>
                <w:sz w:val="24"/>
                <w:szCs w:val="24"/>
              </w:rPr>
              <w:t>Syndicator</w:t>
            </w:r>
          </w:p>
        </w:tc>
        <w:tc>
          <w:tcPr>
            <w:tcW w:w="3061" w:type="dxa"/>
          </w:tcPr>
          <w:p w14:paraId="52C20012" w14:textId="2153E672" w:rsidR="00C533BE" w:rsidRPr="00C20181" w:rsidRDefault="0010446A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Brookline Bank</w:t>
            </w:r>
          </w:p>
        </w:tc>
        <w:tc>
          <w:tcPr>
            <w:tcW w:w="2880" w:type="dxa"/>
            <w:vAlign w:val="center"/>
          </w:tcPr>
          <w:p w14:paraId="4ED7A286" w14:textId="02D89B4F" w:rsidR="00C533BE" w:rsidRPr="00C20181" w:rsidRDefault="0010446A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Boston, MA</w:t>
            </w:r>
          </w:p>
        </w:tc>
        <w:tc>
          <w:tcPr>
            <w:tcW w:w="1440" w:type="dxa"/>
          </w:tcPr>
          <w:p w14:paraId="77898794" w14:textId="216F00A2" w:rsidR="00C533BE" w:rsidRPr="00C20181" w:rsidRDefault="0010446A" w:rsidP="00A61B85">
            <w:pPr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Low</w:t>
            </w:r>
          </w:p>
        </w:tc>
      </w:tr>
    </w:tbl>
    <w:p w14:paraId="44540BC5" w14:textId="77777777" w:rsidR="001A7DF4" w:rsidRPr="00C20181" w:rsidRDefault="001A7DF4" w:rsidP="00A61B85">
      <w:pPr>
        <w:spacing w:after="0" w:line="240" w:lineRule="auto"/>
        <w:jc w:val="both"/>
        <w:rPr>
          <w:rFonts w:ascii="Garamond" w:hAnsi="Garamond"/>
          <w:b/>
          <w:bCs/>
          <w:sz w:val="24"/>
          <w:szCs w:val="24"/>
        </w:rPr>
      </w:pPr>
    </w:p>
    <w:p w14:paraId="0759E8FE" w14:textId="5300FECE" w:rsidR="009F5593" w:rsidRPr="00C20181" w:rsidRDefault="009F5593" w:rsidP="00A61B85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C20181">
        <w:rPr>
          <w:rFonts w:ascii="Garamond" w:hAnsi="Garamond"/>
          <w:b/>
          <w:sz w:val="24"/>
          <w:szCs w:val="24"/>
        </w:rPr>
        <w:t xml:space="preserve">Executive Summary </w:t>
      </w: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3235"/>
        <w:gridCol w:w="2070"/>
        <w:gridCol w:w="4320"/>
      </w:tblGrid>
      <w:tr w:rsidR="00BC0EA9" w:rsidRPr="00C20181" w14:paraId="354CC364" w14:textId="0EFD484E" w:rsidTr="0010446A">
        <w:tc>
          <w:tcPr>
            <w:tcW w:w="3235" w:type="dxa"/>
            <w:vAlign w:val="center"/>
          </w:tcPr>
          <w:p w14:paraId="54C50563" w14:textId="5AAFE128" w:rsidR="00BC0EA9" w:rsidRPr="00C20181" w:rsidRDefault="00BC0EA9" w:rsidP="00AD29CA">
            <w:pPr>
              <w:rPr>
                <w:rFonts w:ascii="Garamond" w:hAnsi="Garamond"/>
                <w:b/>
                <w:sz w:val="24"/>
                <w:szCs w:val="24"/>
              </w:rPr>
            </w:pPr>
            <w:r w:rsidRPr="00C20181">
              <w:rPr>
                <w:rFonts w:ascii="Garamond" w:hAnsi="Garamond"/>
                <w:b/>
                <w:sz w:val="24"/>
                <w:szCs w:val="24"/>
              </w:rPr>
              <w:t>Property Address</w:t>
            </w:r>
            <w:r w:rsidR="000D5458" w:rsidRPr="00C20181">
              <w:rPr>
                <w:rFonts w:ascii="Garamond" w:hAnsi="Garamond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256C9377" w14:textId="000615C7" w:rsidR="00BC0EA9" w:rsidRPr="00C20181" w:rsidRDefault="0010446A" w:rsidP="00A30BBE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90 Industrial Circle</w:t>
            </w:r>
          </w:p>
        </w:tc>
        <w:tc>
          <w:tcPr>
            <w:tcW w:w="4320" w:type="dxa"/>
            <w:vAlign w:val="center"/>
          </w:tcPr>
          <w:p w14:paraId="5161F04E" w14:textId="66ADCA60" w:rsidR="00BC0EA9" w:rsidRPr="00C20181" w:rsidRDefault="0010446A" w:rsidP="003072B5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Lincoln, RI</w:t>
            </w:r>
          </w:p>
        </w:tc>
      </w:tr>
      <w:tr w:rsidR="00862EDB" w:rsidRPr="00C20181" w14:paraId="7BCA9594" w14:textId="77777777" w:rsidTr="00DF546E">
        <w:tc>
          <w:tcPr>
            <w:tcW w:w="9625" w:type="dxa"/>
            <w:gridSpan w:val="3"/>
            <w:vAlign w:val="center"/>
          </w:tcPr>
          <w:p w14:paraId="1B8FEED8" w14:textId="77777777" w:rsidR="00862EDB" w:rsidRPr="00C20181" w:rsidRDefault="00862EDB" w:rsidP="00A61B85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</w:p>
        </w:tc>
      </w:tr>
      <w:tr w:rsidR="00251086" w:rsidRPr="00C20181" w14:paraId="3397C4B5" w14:textId="77777777" w:rsidTr="00DF546E">
        <w:tc>
          <w:tcPr>
            <w:tcW w:w="9625" w:type="dxa"/>
            <w:gridSpan w:val="3"/>
            <w:vAlign w:val="center"/>
          </w:tcPr>
          <w:p w14:paraId="3143986A" w14:textId="55654329" w:rsidR="00251086" w:rsidRPr="00C20181" w:rsidRDefault="0070078D" w:rsidP="00A61B85">
            <w:pPr>
              <w:rPr>
                <w:rFonts w:ascii="Garamond" w:hAnsi="Garamond"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/>
                <w:sz w:val="24"/>
                <w:szCs w:val="24"/>
              </w:rPr>
              <w:t xml:space="preserve">Proposed </w:t>
            </w:r>
            <w:r w:rsidR="002B5F3B">
              <w:rPr>
                <w:rFonts w:ascii="Garamond" w:hAnsi="Garamond"/>
                <w:b/>
                <w:sz w:val="24"/>
                <w:szCs w:val="24"/>
              </w:rPr>
              <w:t>First Mortgage Loan Increase</w:t>
            </w:r>
          </w:p>
        </w:tc>
      </w:tr>
      <w:tr w:rsidR="00BC0EA9" w:rsidRPr="00C20181" w14:paraId="4647E2D3" w14:textId="46BF28F3" w:rsidTr="0010446A">
        <w:tc>
          <w:tcPr>
            <w:tcW w:w="3235" w:type="dxa"/>
            <w:vAlign w:val="center"/>
          </w:tcPr>
          <w:p w14:paraId="5CF0B21C" w14:textId="0B7D11C4" w:rsidR="00BC0EA9" w:rsidRPr="0010446A" w:rsidRDefault="0010446A" w:rsidP="00A61B85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RIHousing 1</w:t>
            </w:r>
            <w:r w:rsidRPr="0010446A">
              <w:rPr>
                <w:rFonts w:ascii="Garamond" w:hAnsi="Garamond"/>
                <w:bCs/>
                <w:sz w:val="24"/>
                <w:szCs w:val="24"/>
                <w:vertAlign w:val="superscript"/>
              </w:rPr>
              <w:t>st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Mortgage</w:t>
            </w:r>
          </w:p>
        </w:tc>
        <w:tc>
          <w:tcPr>
            <w:tcW w:w="2070" w:type="dxa"/>
            <w:vAlign w:val="center"/>
          </w:tcPr>
          <w:p w14:paraId="18EDD3C3" w14:textId="73A096C3" w:rsidR="00BC0EA9" w:rsidRPr="00C20181" w:rsidRDefault="0010446A" w:rsidP="003050B7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$1,000,000</w:t>
            </w:r>
          </w:p>
        </w:tc>
        <w:tc>
          <w:tcPr>
            <w:tcW w:w="4320" w:type="dxa"/>
            <w:vAlign w:val="center"/>
          </w:tcPr>
          <w:p w14:paraId="76E18F6B" w14:textId="3DC1E405" w:rsidR="00BC0EA9" w:rsidRPr="00C20181" w:rsidRDefault="0010446A" w:rsidP="00A61B85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Rate: 5%</w:t>
            </w:r>
            <w:r w:rsidR="000C61B9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Cs/>
                <w:sz w:val="24"/>
                <w:szCs w:val="24"/>
              </w:rPr>
              <w:t>Term: 40 years</w:t>
            </w:r>
            <w:r w:rsidR="000C61B9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9E4D2C">
              <w:rPr>
                <w:rFonts w:ascii="Garamond" w:hAnsi="Garamond"/>
                <w:bCs/>
                <w:sz w:val="24"/>
                <w:szCs w:val="24"/>
              </w:rPr>
              <w:t>Repayment:</w:t>
            </w:r>
            <w:r w:rsidR="000C61B9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9E4D2C">
              <w:rPr>
                <w:rFonts w:ascii="Garamond" w:hAnsi="Garamond"/>
                <w:bCs/>
                <w:sz w:val="24"/>
                <w:szCs w:val="24"/>
              </w:rPr>
              <w:t>Fully amortized repayment</w:t>
            </w:r>
            <w:r w:rsidR="00892896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</w:tr>
      <w:tr w:rsidR="002B5F3B" w:rsidRPr="00C20181" w14:paraId="5F14000C" w14:textId="77777777" w:rsidTr="00B5079F">
        <w:tc>
          <w:tcPr>
            <w:tcW w:w="5305" w:type="dxa"/>
            <w:gridSpan w:val="2"/>
            <w:vAlign w:val="center"/>
          </w:tcPr>
          <w:p w14:paraId="1783D073" w14:textId="108AAA27" w:rsidR="002B5F3B" w:rsidRPr="0018262E" w:rsidRDefault="002B5F3B" w:rsidP="003072B5">
            <w:pPr>
              <w:ind w:left="-14" w:firstLine="90"/>
              <w:rPr>
                <w:rFonts w:ascii="Garamond" w:hAnsi="Garamond"/>
                <w:b/>
                <w:sz w:val="24"/>
                <w:szCs w:val="24"/>
              </w:rPr>
            </w:pPr>
            <w:r w:rsidRPr="0018262E">
              <w:rPr>
                <w:rFonts w:ascii="Garamond" w:hAnsi="Garamond"/>
                <w:b/>
                <w:sz w:val="24"/>
                <w:szCs w:val="24"/>
              </w:rPr>
              <w:t xml:space="preserve">Balance of Capital Stack – Fully </w:t>
            </w:r>
            <w:r w:rsidR="00892896">
              <w:rPr>
                <w:rFonts w:ascii="Garamond" w:hAnsi="Garamond"/>
                <w:b/>
                <w:sz w:val="24"/>
                <w:szCs w:val="24"/>
              </w:rPr>
              <w:t>Funded</w:t>
            </w:r>
          </w:p>
        </w:tc>
        <w:tc>
          <w:tcPr>
            <w:tcW w:w="4320" w:type="dxa"/>
            <w:vAlign w:val="center"/>
          </w:tcPr>
          <w:p w14:paraId="36E089D2" w14:textId="77777777" w:rsidR="002B5F3B" w:rsidRDefault="002B5F3B" w:rsidP="00A61B85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BC0EA9" w:rsidRPr="00C20181" w14:paraId="1841DC57" w14:textId="32F75A66" w:rsidTr="0010446A">
        <w:tc>
          <w:tcPr>
            <w:tcW w:w="3235" w:type="dxa"/>
            <w:vAlign w:val="center"/>
          </w:tcPr>
          <w:p w14:paraId="4ED5824E" w14:textId="562CE64C" w:rsidR="00BC0EA9" w:rsidRPr="0010446A" w:rsidRDefault="0010446A" w:rsidP="00A61B85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HOME</w:t>
            </w:r>
            <w:r w:rsidR="00321F51">
              <w:rPr>
                <w:rFonts w:ascii="Garamond" w:hAnsi="Garamond"/>
                <w:bCs/>
                <w:sz w:val="24"/>
                <w:szCs w:val="24"/>
              </w:rPr>
              <w:t xml:space="preserve"> Loan Program</w:t>
            </w:r>
          </w:p>
        </w:tc>
        <w:tc>
          <w:tcPr>
            <w:tcW w:w="2070" w:type="dxa"/>
            <w:vAlign w:val="center"/>
          </w:tcPr>
          <w:p w14:paraId="6FF4D961" w14:textId="2DBCAE19" w:rsidR="00BC0EA9" w:rsidRPr="00C20181" w:rsidRDefault="0010446A" w:rsidP="003072B5">
            <w:pPr>
              <w:ind w:left="-14" w:firstLine="9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$563,000</w:t>
            </w:r>
          </w:p>
        </w:tc>
        <w:tc>
          <w:tcPr>
            <w:tcW w:w="4320" w:type="dxa"/>
            <w:vAlign w:val="center"/>
          </w:tcPr>
          <w:p w14:paraId="1F443F6C" w14:textId="32AE41E2" w:rsidR="00BC0EA9" w:rsidRPr="00C20181" w:rsidRDefault="009E4D2C" w:rsidP="00A61B85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Rate: 2.76% Term: 32 years Repayment</w:t>
            </w:r>
            <w:r w:rsidR="00892896">
              <w:rPr>
                <w:rFonts w:ascii="Garamond" w:hAnsi="Garamond"/>
                <w:bCs/>
                <w:sz w:val="24"/>
                <w:szCs w:val="24"/>
              </w:rPr>
              <w:t>: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892896">
              <w:rPr>
                <w:rFonts w:ascii="Garamond" w:hAnsi="Garamond"/>
                <w:bCs/>
                <w:sz w:val="24"/>
                <w:szCs w:val="24"/>
              </w:rPr>
              <w:t>D</w:t>
            </w:r>
            <w:r>
              <w:rPr>
                <w:rFonts w:ascii="Garamond" w:hAnsi="Garamond"/>
                <w:bCs/>
                <w:sz w:val="24"/>
                <w:szCs w:val="24"/>
              </w:rPr>
              <w:t>eferred for 32 years</w:t>
            </w:r>
            <w:r w:rsidR="00892896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</w:tr>
      <w:tr w:rsidR="00EF4015" w:rsidRPr="00C20181" w14:paraId="581103B8" w14:textId="65CE3F18" w:rsidTr="0010446A">
        <w:tc>
          <w:tcPr>
            <w:tcW w:w="3235" w:type="dxa"/>
            <w:vAlign w:val="center"/>
          </w:tcPr>
          <w:p w14:paraId="31AEC1BC" w14:textId="27565DBF" w:rsidR="00EF4015" w:rsidRPr="0010446A" w:rsidRDefault="0010446A" w:rsidP="0010446A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HTF</w:t>
            </w:r>
            <w:r w:rsidR="00321F51">
              <w:rPr>
                <w:rFonts w:ascii="Garamond" w:hAnsi="Garamond"/>
                <w:bCs/>
                <w:sz w:val="24"/>
                <w:szCs w:val="24"/>
              </w:rPr>
              <w:t xml:space="preserve"> Loan Program</w:t>
            </w:r>
          </w:p>
        </w:tc>
        <w:tc>
          <w:tcPr>
            <w:tcW w:w="2070" w:type="dxa"/>
            <w:vAlign w:val="center"/>
          </w:tcPr>
          <w:p w14:paraId="184B11C1" w14:textId="10613577" w:rsidR="00EF4015" w:rsidRPr="00C20181" w:rsidRDefault="0010446A" w:rsidP="003072B5">
            <w:pPr>
              <w:ind w:left="-14" w:firstLine="9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$562,000</w:t>
            </w:r>
          </w:p>
        </w:tc>
        <w:tc>
          <w:tcPr>
            <w:tcW w:w="4320" w:type="dxa"/>
            <w:vAlign w:val="center"/>
          </w:tcPr>
          <w:p w14:paraId="12F4E565" w14:textId="622238EA" w:rsidR="00EF4015" w:rsidRPr="00C20181" w:rsidRDefault="009E4D2C" w:rsidP="00A61B85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Rate: 2.76% Term: 32 years Repayment</w:t>
            </w:r>
            <w:r w:rsidR="00892896">
              <w:rPr>
                <w:rFonts w:ascii="Garamond" w:hAnsi="Garamond"/>
                <w:bCs/>
                <w:sz w:val="24"/>
                <w:szCs w:val="24"/>
              </w:rPr>
              <w:t>:</w:t>
            </w:r>
            <w:r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892896">
              <w:rPr>
                <w:rFonts w:ascii="Garamond" w:hAnsi="Garamond"/>
                <w:bCs/>
                <w:sz w:val="24"/>
                <w:szCs w:val="24"/>
              </w:rPr>
              <w:t>D</w:t>
            </w:r>
            <w:r>
              <w:rPr>
                <w:rFonts w:ascii="Garamond" w:hAnsi="Garamond"/>
                <w:bCs/>
                <w:sz w:val="24"/>
                <w:szCs w:val="24"/>
              </w:rPr>
              <w:t>eferred for 32 years</w:t>
            </w:r>
            <w:r w:rsidR="00892896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</w:tr>
      <w:tr w:rsidR="00EF4015" w:rsidRPr="00C20181" w14:paraId="3216C2FB" w14:textId="2918141D" w:rsidTr="0010446A">
        <w:tc>
          <w:tcPr>
            <w:tcW w:w="3235" w:type="dxa"/>
            <w:vAlign w:val="center"/>
          </w:tcPr>
          <w:p w14:paraId="1FC8943F" w14:textId="07386C9D" w:rsidR="00EF4015" w:rsidRPr="0010446A" w:rsidRDefault="0010446A" w:rsidP="0010446A">
            <w:pPr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Lead</w:t>
            </w:r>
            <w:r w:rsidR="00321F51">
              <w:rPr>
                <w:rFonts w:ascii="Garamond" w:hAnsi="Garamond"/>
                <w:bCs/>
                <w:sz w:val="24"/>
                <w:szCs w:val="24"/>
              </w:rPr>
              <w:t xml:space="preserve"> Program Funds</w:t>
            </w:r>
          </w:p>
        </w:tc>
        <w:tc>
          <w:tcPr>
            <w:tcW w:w="2070" w:type="dxa"/>
            <w:vAlign w:val="center"/>
          </w:tcPr>
          <w:p w14:paraId="6CEBE5AA" w14:textId="3C8BE685" w:rsidR="00EF4015" w:rsidRPr="00C20181" w:rsidRDefault="0010446A" w:rsidP="003072B5">
            <w:pPr>
              <w:ind w:left="-14" w:firstLine="9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$277,150</w:t>
            </w:r>
          </w:p>
        </w:tc>
        <w:tc>
          <w:tcPr>
            <w:tcW w:w="4320" w:type="dxa"/>
            <w:vAlign w:val="center"/>
          </w:tcPr>
          <w:p w14:paraId="30D68E1D" w14:textId="7EE6B451" w:rsidR="00EF4015" w:rsidRPr="00C20181" w:rsidRDefault="00BC0FD5" w:rsidP="00A61B85">
            <w:pPr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Rate: </w:t>
            </w:r>
            <w:r w:rsidR="0014242B">
              <w:rPr>
                <w:rFonts w:ascii="Garamond" w:hAnsi="Garamond"/>
                <w:bCs/>
                <w:sz w:val="24"/>
                <w:szCs w:val="24"/>
              </w:rPr>
              <w:t>0%</w:t>
            </w:r>
            <w:r w:rsidR="000C61B9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Cs/>
                <w:sz w:val="24"/>
                <w:szCs w:val="24"/>
              </w:rPr>
              <w:t>Term:</w:t>
            </w:r>
            <w:r w:rsidR="000C61B9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 w:rsidR="0014242B">
              <w:rPr>
                <w:rFonts w:ascii="Garamond" w:hAnsi="Garamond"/>
                <w:bCs/>
                <w:sz w:val="24"/>
                <w:szCs w:val="24"/>
              </w:rPr>
              <w:t>10 years</w:t>
            </w:r>
            <w:r w:rsidR="000C61B9">
              <w:rPr>
                <w:rFonts w:ascii="Garamond" w:hAnsi="Garamond"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bCs/>
                <w:sz w:val="24"/>
                <w:szCs w:val="24"/>
              </w:rPr>
              <w:t>Repayment: Deferred</w:t>
            </w:r>
            <w:r w:rsidR="00892896">
              <w:rPr>
                <w:rFonts w:ascii="Garamond" w:hAnsi="Garamond"/>
                <w:bCs/>
                <w:sz w:val="24"/>
                <w:szCs w:val="24"/>
              </w:rPr>
              <w:t xml:space="preserve"> for 10 years</w:t>
            </w:r>
          </w:p>
        </w:tc>
      </w:tr>
    </w:tbl>
    <w:p w14:paraId="205F0DF4" w14:textId="77777777" w:rsidR="003B3961" w:rsidRDefault="003B3961" w:rsidP="00174F19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1476C269" w14:textId="74B0093B" w:rsidR="00174F19" w:rsidRPr="00162A8A" w:rsidRDefault="00174F19" w:rsidP="00174F19">
      <w:pPr>
        <w:spacing w:line="240" w:lineRule="auto"/>
        <w:jc w:val="both"/>
        <w:rPr>
          <w:rFonts w:ascii="Garamond" w:hAnsi="Garamond"/>
          <w:bCs/>
          <w:sz w:val="24"/>
          <w:szCs w:val="24"/>
        </w:rPr>
      </w:pPr>
      <w:r w:rsidRPr="00162A8A">
        <w:rPr>
          <w:rFonts w:ascii="Garamond" w:hAnsi="Garamond"/>
          <w:b/>
          <w:sz w:val="24"/>
          <w:szCs w:val="24"/>
        </w:rPr>
        <w:t xml:space="preserve">Changes since </w:t>
      </w:r>
      <w:r>
        <w:rPr>
          <w:rFonts w:ascii="Garamond" w:hAnsi="Garamond"/>
          <w:b/>
          <w:sz w:val="24"/>
          <w:szCs w:val="24"/>
        </w:rPr>
        <w:t>Firm</w:t>
      </w:r>
      <w:r w:rsidRPr="00162A8A">
        <w:rPr>
          <w:rFonts w:ascii="Garamond" w:hAnsi="Garamond"/>
          <w:b/>
          <w:sz w:val="24"/>
          <w:szCs w:val="24"/>
        </w:rPr>
        <w:t xml:space="preserve"> Approval:</w:t>
      </w:r>
    </w:p>
    <w:p w14:paraId="2B0CF9BB" w14:textId="3C874E11" w:rsidR="00174F19" w:rsidRDefault="004D1812" w:rsidP="00174F19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The final total development costs were $735,557 more than projected when this project commenced in June 2019.</w:t>
      </w:r>
      <w:r w:rsidR="000C61B9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The increases in development costs were the result of design </w:t>
      </w:r>
      <w:r w:rsidR="009E4D2C">
        <w:rPr>
          <w:rFonts w:ascii="Garamond" w:hAnsi="Garamond"/>
          <w:bCs/>
          <w:sz w:val="24"/>
          <w:szCs w:val="24"/>
        </w:rPr>
        <w:t xml:space="preserve">and scope </w:t>
      </w:r>
      <w:r>
        <w:rPr>
          <w:rFonts w:ascii="Garamond" w:hAnsi="Garamond"/>
          <w:bCs/>
          <w:sz w:val="24"/>
          <w:szCs w:val="24"/>
        </w:rPr>
        <w:t xml:space="preserve">changes required by the State Historic Preservation Office </w:t>
      </w:r>
      <w:proofErr w:type="gramStart"/>
      <w:r>
        <w:rPr>
          <w:rFonts w:ascii="Garamond" w:hAnsi="Garamond"/>
          <w:bCs/>
          <w:sz w:val="24"/>
          <w:szCs w:val="24"/>
        </w:rPr>
        <w:t>in order to</w:t>
      </w:r>
      <w:proofErr w:type="gramEnd"/>
      <w:r>
        <w:rPr>
          <w:rFonts w:ascii="Garamond" w:hAnsi="Garamond"/>
          <w:bCs/>
          <w:sz w:val="24"/>
          <w:szCs w:val="24"/>
        </w:rPr>
        <w:t xml:space="preserve"> comply with the requirements of the Federal Historic Tax Credit program,</w:t>
      </w:r>
      <w:r w:rsidR="000C61B9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 xml:space="preserve">and increased costs </w:t>
      </w:r>
      <w:r w:rsidR="009E4D2C">
        <w:rPr>
          <w:rFonts w:ascii="Garamond" w:hAnsi="Garamond"/>
          <w:bCs/>
          <w:sz w:val="24"/>
          <w:szCs w:val="24"/>
        </w:rPr>
        <w:t>associated with subpar and incomplete work by framing and masonry subcontractors.</w:t>
      </w:r>
      <w:r w:rsidR="000C61B9">
        <w:rPr>
          <w:rFonts w:ascii="Garamond" w:hAnsi="Garamond"/>
          <w:bCs/>
          <w:sz w:val="24"/>
          <w:szCs w:val="24"/>
        </w:rPr>
        <w:t xml:space="preserve"> </w:t>
      </w:r>
      <w:r w:rsidR="00943AAD">
        <w:rPr>
          <w:rFonts w:ascii="Garamond" w:hAnsi="Garamond"/>
          <w:bCs/>
          <w:sz w:val="24"/>
          <w:szCs w:val="24"/>
        </w:rPr>
        <w:t>The LIHTC equity amount was reduced by $</w:t>
      </w:r>
      <w:r w:rsidR="007706B1">
        <w:rPr>
          <w:rFonts w:ascii="Garamond" w:hAnsi="Garamond"/>
          <w:bCs/>
          <w:sz w:val="24"/>
          <w:szCs w:val="24"/>
        </w:rPr>
        <w:t>35,543 due to a downward adjuster for a late placed in service date.</w:t>
      </w:r>
    </w:p>
    <w:p w14:paraId="1EF01EB7" w14:textId="77777777" w:rsidR="00265123" w:rsidRDefault="00265123" w:rsidP="00265123">
      <w:pPr>
        <w:pStyle w:val="ListParagraph"/>
        <w:spacing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2BD54EA1" w14:textId="025DBC1D" w:rsidR="00174F19" w:rsidRDefault="009E4D2C" w:rsidP="00174F19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The financing gap created by the additional total development costs </w:t>
      </w:r>
      <w:r w:rsidR="00E237A4">
        <w:rPr>
          <w:rFonts w:ascii="Garamond" w:hAnsi="Garamond"/>
          <w:bCs/>
          <w:sz w:val="24"/>
          <w:szCs w:val="24"/>
        </w:rPr>
        <w:t xml:space="preserve">is being filled with additional federal historic tax credit equity, a loan </w:t>
      </w:r>
      <w:r w:rsidR="007706B1">
        <w:rPr>
          <w:rFonts w:ascii="Garamond" w:hAnsi="Garamond"/>
          <w:bCs/>
          <w:sz w:val="24"/>
          <w:szCs w:val="24"/>
        </w:rPr>
        <w:t xml:space="preserve">of $277,150 </w:t>
      </w:r>
      <w:r w:rsidR="00E237A4">
        <w:rPr>
          <w:rFonts w:ascii="Garamond" w:hAnsi="Garamond"/>
          <w:bCs/>
          <w:sz w:val="24"/>
          <w:szCs w:val="24"/>
        </w:rPr>
        <w:t xml:space="preserve">from the RIHousing lead paint remediation loan program, </w:t>
      </w:r>
      <w:r w:rsidR="007706B1">
        <w:rPr>
          <w:rFonts w:ascii="Garamond" w:hAnsi="Garamond"/>
          <w:bCs/>
          <w:sz w:val="24"/>
          <w:szCs w:val="24"/>
        </w:rPr>
        <w:t xml:space="preserve">over $100,000 in </w:t>
      </w:r>
      <w:r w:rsidR="00E237A4">
        <w:rPr>
          <w:rFonts w:ascii="Garamond" w:hAnsi="Garamond"/>
          <w:bCs/>
          <w:sz w:val="24"/>
          <w:szCs w:val="24"/>
        </w:rPr>
        <w:t xml:space="preserve">additional deferral of developer fee, and </w:t>
      </w:r>
      <w:r w:rsidR="007706B1">
        <w:rPr>
          <w:rFonts w:ascii="Garamond" w:hAnsi="Garamond"/>
          <w:bCs/>
          <w:sz w:val="24"/>
          <w:szCs w:val="24"/>
        </w:rPr>
        <w:t>an</w:t>
      </w:r>
      <w:r w:rsidR="00E237A4">
        <w:rPr>
          <w:rFonts w:ascii="Garamond" w:hAnsi="Garamond"/>
          <w:bCs/>
          <w:sz w:val="24"/>
          <w:szCs w:val="24"/>
        </w:rPr>
        <w:t xml:space="preserve"> increase </w:t>
      </w:r>
      <w:r w:rsidR="007706B1">
        <w:rPr>
          <w:rFonts w:ascii="Garamond" w:hAnsi="Garamond"/>
          <w:bCs/>
          <w:sz w:val="24"/>
          <w:szCs w:val="24"/>
        </w:rPr>
        <w:t>of $300,000</w:t>
      </w:r>
      <w:r w:rsidR="00E237A4">
        <w:rPr>
          <w:rFonts w:ascii="Garamond" w:hAnsi="Garamond"/>
          <w:bCs/>
          <w:sz w:val="24"/>
          <w:szCs w:val="24"/>
        </w:rPr>
        <w:t xml:space="preserve"> the RIH first mortgage loan.</w:t>
      </w:r>
    </w:p>
    <w:p w14:paraId="4B643D3D" w14:textId="77777777" w:rsidR="007706B1" w:rsidRDefault="007706B1" w:rsidP="007706B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5FB6AD5F" w14:textId="3891BA27" w:rsidR="007706B1" w:rsidRDefault="007706B1" w:rsidP="007706B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706B1">
        <w:rPr>
          <w:rFonts w:ascii="Garamond" w:hAnsi="Garamond"/>
          <w:b/>
          <w:sz w:val="24"/>
          <w:szCs w:val="24"/>
        </w:rPr>
        <w:t>Sources &amp; Uses:</w:t>
      </w:r>
    </w:p>
    <w:p w14:paraId="499F4D73" w14:textId="77777777" w:rsidR="00A3539F" w:rsidRPr="007706B1" w:rsidRDefault="00A3539F" w:rsidP="007706B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753F33D0" w14:textId="49C0D63A" w:rsidR="007706B1" w:rsidRDefault="00BC0FD5" w:rsidP="00174F19">
      <w:pPr>
        <w:spacing w:line="240" w:lineRule="auto"/>
        <w:jc w:val="both"/>
        <w:rPr>
          <w:rFonts w:ascii="Garamond" w:hAnsi="Garamond"/>
          <w:bCs/>
          <w:sz w:val="24"/>
          <w:szCs w:val="24"/>
        </w:rPr>
      </w:pPr>
      <w:r w:rsidRPr="00BC0FD5">
        <w:rPr>
          <w:noProof/>
        </w:rPr>
        <w:drawing>
          <wp:inline distT="0" distB="0" distL="0" distR="0" wp14:anchorId="60E9424C" wp14:editId="5D95E81F">
            <wp:extent cx="5943600" cy="311594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1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F2ABA" w14:textId="77777777" w:rsidR="007706B1" w:rsidRDefault="007706B1" w:rsidP="00174F19">
      <w:pPr>
        <w:spacing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89705F9" w14:textId="77777777" w:rsidR="007706B1" w:rsidRPr="00C20181" w:rsidRDefault="007706B1" w:rsidP="007706B1">
      <w:pPr>
        <w:spacing w:line="240" w:lineRule="auto"/>
        <w:jc w:val="both"/>
        <w:rPr>
          <w:rFonts w:ascii="Garamond" w:hAnsi="Garamond"/>
          <w:b/>
          <w:sz w:val="24"/>
          <w:szCs w:val="24"/>
        </w:rPr>
      </w:pPr>
      <w:r w:rsidRPr="00C20181">
        <w:rPr>
          <w:rFonts w:ascii="Garamond" w:hAnsi="Garamond"/>
          <w:b/>
          <w:sz w:val="24"/>
          <w:szCs w:val="24"/>
        </w:rPr>
        <w:t>Loan to Value Test:</w:t>
      </w:r>
    </w:p>
    <w:p w14:paraId="7325305E" w14:textId="77777777" w:rsidR="00321F51" w:rsidRDefault="007706B1" w:rsidP="007706B1">
      <w:pPr>
        <w:pStyle w:val="ListParagraph"/>
        <w:spacing w:line="240" w:lineRule="auto"/>
        <w:ind w:left="0"/>
        <w:jc w:val="both"/>
      </w:pPr>
      <w:r w:rsidRPr="006536FE" w:rsidDel="00670C32">
        <w:t xml:space="preserve"> </w:t>
      </w:r>
      <w:r w:rsidR="00321F51" w:rsidRPr="00321F51">
        <w:rPr>
          <w:noProof/>
        </w:rPr>
        <w:drawing>
          <wp:inline distT="0" distB="0" distL="0" distR="0" wp14:anchorId="6A334119" wp14:editId="36434629">
            <wp:extent cx="5943600" cy="9531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D0A96" w14:textId="4D93D222" w:rsidR="007706B1" w:rsidRDefault="007706B1" w:rsidP="007706B1">
      <w:pPr>
        <w:pStyle w:val="ListParagraph"/>
        <w:spacing w:line="240" w:lineRule="auto"/>
        <w:ind w:left="0"/>
        <w:jc w:val="both"/>
        <w:rPr>
          <w:rFonts w:ascii="Garamond" w:hAnsi="Garamond"/>
          <w:bCs/>
          <w:sz w:val="24"/>
          <w:szCs w:val="24"/>
        </w:rPr>
      </w:pPr>
    </w:p>
    <w:p w14:paraId="491BC9E6" w14:textId="77777777" w:rsidR="007706B1" w:rsidRDefault="007706B1" w:rsidP="007706B1">
      <w:pPr>
        <w:pStyle w:val="ListParagraph"/>
        <w:spacing w:line="240" w:lineRule="auto"/>
        <w:ind w:left="0"/>
        <w:jc w:val="both"/>
        <w:rPr>
          <w:rFonts w:ascii="Garamond" w:hAnsi="Garamond"/>
          <w:bCs/>
          <w:sz w:val="24"/>
          <w:szCs w:val="24"/>
        </w:rPr>
      </w:pPr>
    </w:p>
    <w:p w14:paraId="72187E3D" w14:textId="77777777" w:rsidR="007706B1" w:rsidRDefault="007706B1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br w:type="page"/>
      </w:r>
    </w:p>
    <w:p w14:paraId="2CBE9A8B" w14:textId="2AE36EA5" w:rsidR="00C502A1" w:rsidRPr="00C20181" w:rsidRDefault="00C502A1" w:rsidP="00A61B85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20181">
        <w:rPr>
          <w:rFonts w:ascii="Garamond" w:hAnsi="Garamond"/>
          <w:b/>
          <w:sz w:val="24"/>
          <w:szCs w:val="24"/>
        </w:rPr>
        <w:lastRenderedPageBreak/>
        <w:t>Underwriting Metrics:</w:t>
      </w:r>
    </w:p>
    <w:p w14:paraId="15F230CD" w14:textId="0746E5EB" w:rsidR="00C502A1" w:rsidRPr="00C20181" w:rsidRDefault="00C502A1" w:rsidP="00A61B85">
      <w:pPr>
        <w:pStyle w:val="ListParagraph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tbl>
      <w:tblPr>
        <w:tblStyle w:val="TableGrid"/>
        <w:tblW w:w="9450" w:type="dxa"/>
        <w:tblInd w:w="85" w:type="dxa"/>
        <w:tblLook w:val="04A0" w:firstRow="1" w:lastRow="0" w:firstColumn="1" w:lastColumn="0" w:noHBand="0" w:noVBand="1"/>
      </w:tblPr>
      <w:tblGrid>
        <w:gridCol w:w="3917"/>
        <w:gridCol w:w="1933"/>
        <w:gridCol w:w="3600"/>
      </w:tblGrid>
      <w:tr w:rsidR="00A11B04" w:rsidRPr="00C20181" w14:paraId="724FA41A" w14:textId="77777777" w:rsidTr="00D55C32">
        <w:tc>
          <w:tcPr>
            <w:tcW w:w="3917" w:type="dxa"/>
            <w:vAlign w:val="center"/>
          </w:tcPr>
          <w:p w14:paraId="5390478D" w14:textId="63343A64" w:rsidR="00A11B04" w:rsidRPr="00C20181" w:rsidRDefault="00A11B04" w:rsidP="005748C1">
            <w:pPr>
              <w:pStyle w:val="List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C20181">
              <w:rPr>
                <w:rFonts w:ascii="Garamond" w:hAnsi="Garamond"/>
                <w:b/>
                <w:sz w:val="24"/>
                <w:szCs w:val="24"/>
              </w:rPr>
              <w:t>Metric</w:t>
            </w:r>
          </w:p>
        </w:tc>
        <w:tc>
          <w:tcPr>
            <w:tcW w:w="1933" w:type="dxa"/>
            <w:vAlign w:val="center"/>
          </w:tcPr>
          <w:p w14:paraId="6115C17D" w14:textId="38090453" w:rsidR="00A11B04" w:rsidRPr="00C20181" w:rsidRDefault="00A11B04" w:rsidP="005748C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20181">
              <w:rPr>
                <w:rFonts w:ascii="Garamond" w:hAnsi="Garamond"/>
                <w:b/>
                <w:sz w:val="24"/>
                <w:szCs w:val="24"/>
              </w:rPr>
              <w:t>Amount</w:t>
            </w:r>
          </w:p>
        </w:tc>
        <w:tc>
          <w:tcPr>
            <w:tcW w:w="3600" w:type="dxa"/>
            <w:vAlign w:val="center"/>
          </w:tcPr>
          <w:p w14:paraId="1AACCD60" w14:textId="3DBB50AC" w:rsidR="00A11B04" w:rsidRPr="00C20181" w:rsidRDefault="00A11B04" w:rsidP="005748C1">
            <w:pPr>
              <w:pStyle w:val="ListParagraph"/>
              <w:ind w:left="0"/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C20181">
              <w:rPr>
                <w:rFonts w:ascii="Garamond" w:hAnsi="Garamond"/>
                <w:b/>
                <w:sz w:val="24"/>
                <w:szCs w:val="24"/>
              </w:rPr>
              <w:t>Comment</w:t>
            </w:r>
          </w:p>
        </w:tc>
      </w:tr>
      <w:tr w:rsidR="00CD4301" w:rsidRPr="00C20181" w14:paraId="59047DAB" w14:textId="77777777" w:rsidTr="00D55C32">
        <w:tc>
          <w:tcPr>
            <w:tcW w:w="3917" w:type="dxa"/>
            <w:vAlign w:val="center"/>
          </w:tcPr>
          <w:p w14:paraId="714EB528" w14:textId="58E24035" w:rsidR="00765544" w:rsidRPr="00C20181" w:rsidRDefault="008F723D" w:rsidP="00A61B85">
            <w:pPr>
              <w:pStyle w:val="ListParagraph"/>
              <w:ind w:left="0"/>
              <w:rPr>
                <w:rFonts w:ascii="Garamond" w:hAnsi="Garamond"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Cs/>
                <w:sz w:val="24"/>
                <w:szCs w:val="24"/>
              </w:rPr>
              <w:t>Total Development Cost Per Unit</w:t>
            </w:r>
          </w:p>
        </w:tc>
        <w:tc>
          <w:tcPr>
            <w:tcW w:w="1933" w:type="dxa"/>
            <w:vAlign w:val="center"/>
          </w:tcPr>
          <w:p w14:paraId="7388ADBF" w14:textId="35377A87" w:rsidR="004D775D" w:rsidRPr="00D82AC4" w:rsidRDefault="00AD5C3C">
            <w:pPr>
              <w:pStyle w:val="ListParagraph"/>
              <w:ind w:left="0" w:firstLine="436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$</w:t>
            </w:r>
            <w:r w:rsidR="00A235CE">
              <w:rPr>
                <w:rFonts w:ascii="Garamond" w:hAnsi="Garamond"/>
                <w:bCs/>
                <w:sz w:val="24"/>
                <w:szCs w:val="24"/>
              </w:rPr>
              <w:t>345,496</w:t>
            </w:r>
          </w:p>
        </w:tc>
        <w:tc>
          <w:tcPr>
            <w:tcW w:w="3600" w:type="dxa"/>
            <w:vAlign w:val="center"/>
          </w:tcPr>
          <w:p w14:paraId="5D7E8015" w14:textId="26B329F3" w:rsidR="00765544" w:rsidRPr="00096253" w:rsidRDefault="00A3516E" w:rsidP="00A61B85">
            <w:pPr>
              <w:pStyle w:val="ListParagraph"/>
              <w:ind w:left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A</w:t>
            </w:r>
            <w:r w:rsidR="00AD5C3C">
              <w:rPr>
                <w:rFonts w:ascii="Garamond" w:hAnsi="Garamond"/>
                <w:bCs/>
                <w:sz w:val="24"/>
                <w:szCs w:val="24"/>
              </w:rPr>
              <w:t>s-complete TDC</w:t>
            </w:r>
          </w:p>
        </w:tc>
      </w:tr>
      <w:tr w:rsidR="00CD4301" w:rsidRPr="00C20181" w14:paraId="683576CF" w14:textId="77777777" w:rsidTr="00D55C32">
        <w:tc>
          <w:tcPr>
            <w:tcW w:w="3917" w:type="dxa"/>
            <w:vAlign w:val="center"/>
          </w:tcPr>
          <w:p w14:paraId="1C55F35F" w14:textId="31A56FB3" w:rsidR="00765544" w:rsidRPr="00C20181" w:rsidRDefault="00CD4301" w:rsidP="00A61B85">
            <w:pPr>
              <w:pStyle w:val="ListParagraph"/>
              <w:ind w:left="0"/>
              <w:rPr>
                <w:rFonts w:ascii="Garamond" w:hAnsi="Garamond"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Cs/>
                <w:sz w:val="24"/>
                <w:szCs w:val="24"/>
              </w:rPr>
              <w:t xml:space="preserve">Residential </w:t>
            </w:r>
            <w:r w:rsidR="00FF2859" w:rsidRPr="00C20181">
              <w:rPr>
                <w:rFonts w:ascii="Garamond" w:hAnsi="Garamond"/>
                <w:bCs/>
                <w:sz w:val="24"/>
                <w:szCs w:val="24"/>
              </w:rPr>
              <w:t>Vacancy Rate</w:t>
            </w:r>
          </w:p>
        </w:tc>
        <w:tc>
          <w:tcPr>
            <w:tcW w:w="1933" w:type="dxa"/>
            <w:vAlign w:val="center"/>
          </w:tcPr>
          <w:p w14:paraId="28664CB8" w14:textId="051DE864" w:rsidR="00AD5C3C" w:rsidRPr="00AD5C3C" w:rsidRDefault="00C90C04" w:rsidP="00AD5C3C">
            <w:pPr>
              <w:pStyle w:val="ListParagraph"/>
              <w:ind w:left="0" w:firstLine="436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5</w:t>
            </w:r>
            <w:r w:rsidR="00AD5C3C">
              <w:rPr>
                <w:rFonts w:ascii="Garamond" w:hAnsi="Garamond"/>
                <w:bCs/>
                <w:sz w:val="24"/>
                <w:szCs w:val="24"/>
              </w:rPr>
              <w:t>%</w:t>
            </w:r>
          </w:p>
        </w:tc>
        <w:tc>
          <w:tcPr>
            <w:tcW w:w="3600" w:type="dxa"/>
            <w:vAlign w:val="center"/>
          </w:tcPr>
          <w:p w14:paraId="7799F413" w14:textId="0D9CB517" w:rsidR="00765544" w:rsidRPr="00096253" w:rsidRDefault="00AD5C3C" w:rsidP="00FA3268">
            <w:pPr>
              <w:pStyle w:val="ListParagraph"/>
              <w:ind w:left="0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Development is currently 100% occupied</w:t>
            </w:r>
            <w:r w:rsidR="007706B1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</w:tr>
      <w:tr w:rsidR="00CD4301" w:rsidRPr="00C20181" w14:paraId="48BAF3F3" w14:textId="77777777" w:rsidTr="00D55C32">
        <w:tc>
          <w:tcPr>
            <w:tcW w:w="3917" w:type="dxa"/>
            <w:vAlign w:val="center"/>
          </w:tcPr>
          <w:p w14:paraId="661BD16B" w14:textId="32871A49" w:rsidR="00765544" w:rsidRPr="00C20181" w:rsidRDefault="00FF2859" w:rsidP="00A61B85">
            <w:pPr>
              <w:pStyle w:val="ListParagraph"/>
              <w:ind w:left="0"/>
              <w:rPr>
                <w:rFonts w:ascii="Garamond" w:hAnsi="Garamond"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Cs/>
                <w:sz w:val="24"/>
                <w:szCs w:val="24"/>
              </w:rPr>
              <w:t>DCR Y</w:t>
            </w:r>
            <w:r w:rsidR="00EF4015" w:rsidRPr="00C20181">
              <w:rPr>
                <w:rFonts w:ascii="Garamond" w:hAnsi="Garamond"/>
                <w:bCs/>
                <w:sz w:val="24"/>
                <w:szCs w:val="24"/>
              </w:rPr>
              <w:t>ea</w:t>
            </w:r>
            <w:r w:rsidRPr="00C20181">
              <w:rPr>
                <w:rFonts w:ascii="Garamond" w:hAnsi="Garamond"/>
                <w:bCs/>
                <w:sz w:val="24"/>
                <w:szCs w:val="24"/>
              </w:rPr>
              <w:t>r 1</w:t>
            </w:r>
          </w:p>
        </w:tc>
        <w:tc>
          <w:tcPr>
            <w:tcW w:w="1933" w:type="dxa"/>
            <w:vAlign w:val="center"/>
          </w:tcPr>
          <w:p w14:paraId="543DD721" w14:textId="6E5DD7DF" w:rsidR="00765544" w:rsidRPr="00096253" w:rsidRDefault="00AD5C3C" w:rsidP="000B02F5">
            <w:pPr>
              <w:pStyle w:val="ListParagraph"/>
              <w:ind w:left="0" w:firstLine="436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1.</w:t>
            </w:r>
            <w:r w:rsidR="007F4526">
              <w:rPr>
                <w:rFonts w:ascii="Garamond" w:hAnsi="Garamond"/>
                <w:bCs/>
                <w:sz w:val="24"/>
                <w:szCs w:val="24"/>
              </w:rPr>
              <w:t>7</w:t>
            </w:r>
            <w:r w:rsidR="00D55C32">
              <w:rPr>
                <w:rFonts w:ascii="Garamond" w:hAnsi="Garamond"/>
                <w:bCs/>
                <w:sz w:val="24"/>
                <w:szCs w:val="24"/>
              </w:rPr>
              <w:t>0</w:t>
            </w:r>
          </w:p>
        </w:tc>
        <w:tc>
          <w:tcPr>
            <w:tcW w:w="3600" w:type="dxa"/>
            <w:vAlign w:val="center"/>
          </w:tcPr>
          <w:p w14:paraId="6372DDFC" w14:textId="2898228E" w:rsidR="00765544" w:rsidRPr="00096253" w:rsidRDefault="00765544" w:rsidP="00A61B85">
            <w:pPr>
              <w:pStyle w:val="ListParagraph"/>
              <w:ind w:left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CD4301" w:rsidRPr="00C20181" w14:paraId="29348050" w14:textId="77777777" w:rsidTr="00D55C32">
        <w:tc>
          <w:tcPr>
            <w:tcW w:w="3917" w:type="dxa"/>
            <w:vAlign w:val="center"/>
          </w:tcPr>
          <w:p w14:paraId="472D7E3B" w14:textId="3C1C8FCB" w:rsidR="00765544" w:rsidRPr="00C20181" w:rsidRDefault="00FF2859" w:rsidP="00A61B85">
            <w:pPr>
              <w:pStyle w:val="ListParagraph"/>
              <w:ind w:left="0"/>
              <w:rPr>
                <w:rFonts w:ascii="Garamond" w:hAnsi="Garamond"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Cs/>
                <w:sz w:val="24"/>
                <w:szCs w:val="24"/>
              </w:rPr>
              <w:t>DCR Y</w:t>
            </w:r>
            <w:r w:rsidR="00EF4015" w:rsidRPr="00C20181">
              <w:rPr>
                <w:rFonts w:ascii="Garamond" w:hAnsi="Garamond"/>
                <w:bCs/>
                <w:sz w:val="24"/>
                <w:szCs w:val="24"/>
              </w:rPr>
              <w:t>ea</w:t>
            </w:r>
            <w:r w:rsidRPr="00C20181">
              <w:rPr>
                <w:rFonts w:ascii="Garamond" w:hAnsi="Garamond"/>
                <w:bCs/>
                <w:sz w:val="24"/>
                <w:szCs w:val="24"/>
              </w:rPr>
              <w:t>r 15</w:t>
            </w:r>
          </w:p>
        </w:tc>
        <w:tc>
          <w:tcPr>
            <w:tcW w:w="1933" w:type="dxa"/>
            <w:vAlign w:val="center"/>
          </w:tcPr>
          <w:p w14:paraId="375065D1" w14:textId="26C4F49C" w:rsidR="00765544" w:rsidRPr="00096253" w:rsidRDefault="00AD5C3C" w:rsidP="000B02F5">
            <w:pPr>
              <w:pStyle w:val="ListParagraph"/>
              <w:ind w:left="0" w:firstLine="436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1.</w:t>
            </w:r>
            <w:r w:rsidR="00D55C32">
              <w:rPr>
                <w:rFonts w:ascii="Garamond" w:hAnsi="Garamond"/>
                <w:bCs/>
                <w:sz w:val="24"/>
                <w:szCs w:val="24"/>
              </w:rPr>
              <w:t>17</w:t>
            </w:r>
          </w:p>
        </w:tc>
        <w:tc>
          <w:tcPr>
            <w:tcW w:w="3600" w:type="dxa"/>
            <w:vAlign w:val="center"/>
          </w:tcPr>
          <w:p w14:paraId="225EC83D" w14:textId="4691D6F5" w:rsidR="00765544" w:rsidRPr="00096253" w:rsidRDefault="007706B1" w:rsidP="00A61B85">
            <w:pPr>
              <w:pStyle w:val="ListParagraph"/>
              <w:ind w:left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RIH requirement is DCR of 1.15 through year 15.</w:t>
            </w:r>
          </w:p>
        </w:tc>
      </w:tr>
      <w:tr w:rsidR="00CD4301" w:rsidRPr="00C20181" w14:paraId="2D12AA18" w14:textId="77777777" w:rsidTr="00D55C32">
        <w:tc>
          <w:tcPr>
            <w:tcW w:w="3917" w:type="dxa"/>
            <w:vAlign w:val="center"/>
          </w:tcPr>
          <w:p w14:paraId="5E2B40B9" w14:textId="400BBE74" w:rsidR="00765544" w:rsidRPr="00C20181" w:rsidRDefault="002C12DE" w:rsidP="00A61B85">
            <w:pPr>
              <w:pStyle w:val="ListParagraph"/>
              <w:ind w:left="0"/>
              <w:rPr>
                <w:rFonts w:ascii="Garamond" w:hAnsi="Garamond"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Cs/>
                <w:sz w:val="24"/>
                <w:szCs w:val="24"/>
              </w:rPr>
              <w:t>NOI</w:t>
            </w:r>
          </w:p>
        </w:tc>
        <w:tc>
          <w:tcPr>
            <w:tcW w:w="1933" w:type="dxa"/>
            <w:vAlign w:val="center"/>
          </w:tcPr>
          <w:p w14:paraId="3C5ED3DF" w14:textId="2871A5C2" w:rsidR="00765544" w:rsidRPr="00096253" w:rsidRDefault="00AD5C3C" w:rsidP="000B02F5">
            <w:pPr>
              <w:pStyle w:val="ListParagraph"/>
              <w:ind w:left="0" w:firstLine="436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$</w:t>
            </w:r>
            <w:r w:rsidR="00D55C32">
              <w:rPr>
                <w:rFonts w:ascii="Garamond" w:hAnsi="Garamond"/>
                <w:bCs/>
                <w:sz w:val="24"/>
                <w:szCs w:val="24"/>
              </w:rPr>
              <w:t>98,160</w:t>
            </w:r>
          </w:p>
        </w:tc>
        <w:tc>
          <w:tcPr>
            <w:tcW w:w="3600" w:type="dxa"/>
            <w:vAlign w:val="center"/>
          </w:tcPr>
          <w:p w14:paraId="1CF2E39C" w14:textId="236186C4" w:rsidR="00765544" w:rsidRPr="00096253" w:rsidRDefault="000A0FCD" w:rsidP="00A61B85">
            <w:pPr>
              <w:pStyle w:val="ListParagraph"/>
              <w:ind w:left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This is net of annual replacement reserve deposits.</w:t>
            </w:r>
          </w:p>
        </w:tc>
      </w:tr>
      <w:tr w:rsidR="00CD4301" w:rsidRPr="00C20181" w14:paraId="1BAFA61E" w14:textId="77777777" w:rsidTr="00D55C32">
        <w:tc>
          <w:tcPr>
            <w:tcW w:w="3917" w:type="dxa"/>
            <w:vAlign w:val="center"/>
          </w:tcPr>
          <w:p w14:paraId="40142D11" w14:textId="1AE2CC9E" w:rsidR="00765544" w:rsidRPr="00C20181" w:rsidRDefault="001434BA" w:rsidP="00A61B85">
            <w:pPr>
              <w:pStyle w:val="ListParagraph"/>
              <w:ind w:left="0"/>
              <w:rPr>
                <w:rFonts w:ascii="Garamond" w:hAnsi="Garamond"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Cs/>
                <w:sz w:val="24"/>
                <w:szCs w:val="24"/>
              </w:rPr>
              <w:t>Income Trending</w:t>
            </w:r>
          </w:p>
        </w:tc>
        <w:tc>
          <w:tcPr>
            <w:tcW w:w="1933" w:type="dxa"/>
            <w:vAlign w:val="center"/>
          </w:tcPr>
          <w:p w14:paraId="6111B08D" w14:textId="01A0516B" w:rsidR="00765544" w:rsidRPr="00096253" w:rsidRDefault="00AD5C3C" w:rsidP="000B02F5">
            <w:pPr>
              <w:pStyle w:val="ListParagraph"/>
              <w:ind w:left="0" w:firstLine="436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2%</w:t>
            </w:r>
          </w:p>
        </w:tc>
        <w:tc>
          <w:tcPr>
            <w:tcW w:w="3600" w:type="dxa"/>
            <w:vAlign w:val="center"/>
          </w:tcPr>
          <w:p w14:paraId="7EAF0715" w14:textId="0005E8CA" w:rsidR="00765544" w:rsidRPr="00096253" w:rsidRDefault="00765544" w:rsidP="00A61B85">
            <w:pPr>
              <w:pStyle w:val="ListParagraph"/>
              <w:ind w:left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CD4301" w:rsidRPr="00C20181" w14:paraId="343111D4" w14:textId="77777777" w:rsidTr="00D55C32">
        <w:tc>
          <w:tcPr>
            <w:tcW w:w="3917" w:type="dxa"/>
            <w:vAlign w:val="center"/>
          </w:tcPr>
          <w:p w14:paraId="3C849F8B" w14:textId="08997968" w:rsidR="00765544" w:rsidRPr="00C20181" w:rsidRDefault="001434BA" w:rsidP="00A61B85">
            <w:pPr>
              <w:pStyle w:val="ListParagraph"/>
              <w:ind w:left="0"/>
              <w:rPr>
                <w:rFonts w:ascii="Garamond" w:hAnsi="Garamond"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Cs/>
                <w:sz w:val="24"/>
                <w:szCs w:val="24"/>
              </w:rPr>
              <w:t>Expense Trending</w:t>
            </w:r>
          </w:p>
        </w:tc>
        <w:tc>
          <w:tcPr>
            <w:tcW w:w="1933" w:type="dxa"/>
            <w:vAlign w:val="center"/>
          </w:tcPr>
          <w:p w14:paraId="46E97EBF" w14:textId="4BB8AA93" w:rsidR="00765544" w:rsidRPr="00096253" w:rsidRDefault="00AD5C3C" w:rsidP="000B02F5">
            <w:pPr>
              <w:pStyle w:val="ListParagraph"/>
              <w:ind w:left="0" w:firstLine="436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3%</w:t>
            </w:r>
          </w:p>
        </w:tc>
        <w:tc>
          <w:tcPr>
            <w:tcW w:w="3600" w:type="dxa"/>
            <w:vAlign w:val="center"/>
          </w:tcPr>
          <w:p w14:paraId="06B04AC5" w14:textId="03414349" w:rsidR="00765544" w:rsidRPr="00096253" w:rsidRDefault="00765544" w:rsidP="00DF546E">
            <w:pPr>
              <w:pStyle w:val="ListParagraph"/>
              <w:ind w:left="0"/>
              <w:rPr>
                <w:rFonts w:ascii="Garamond" w:hAnsi="Garamond"/>
                <w:bCs/>
                <w:sz w:val="24"/>
                <w:szCs w:val="24"/>
              </w:rPr>
            </w:pPr>
          </w:p>
        </w:tc>
      </w:tr>
      <w:tr w:rsidR="00CD4301" w:rsidRPr="00C20181" w14:paraId="3DE5555E" w14:textId="77777777" w:rsidTr="00D55C32">
        <w:tc>
          <w:tcPr>
            <w:tcW w:w="3917" w:type="dxa"/>
            <w:vAlign w:val="center"/>
          </w:tcPr>
          <w:p w14:paraId="5985B693" w14:textId="2E8C81DE" w:rsidR="00765544" w:rsidRPr="00C20181" w:rsidRDefault="001434BA" w:rsidP="00A61B85">
            <w:pPr>
              <w:pStyle w:val="ListParagraph"/>
              <w:ind w:left="0"/>
              <w:rPr>
                <w:rFonts w:ascii="Garamond" w:hAnsi="Garamond"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Cs/>
                <w:sz w:val="24"/>
                <w:szCs w:val="24"/>
              </w:rPr>
              <w:t xml:space="preserve">Loan to </w:t>
            </w:r>
            <w:r w:rsidR="007F4526">
              <w:rPr>
                <w:rFonts w:ascii="Garamond" w:hAnsi="Garamond"/>
                <w:bCs/>
                <w:sz w:val="24"/>
                <w:szCs w:val="24"/>
              </w:rPr>
              <w:t xml:space="preserve">Appraised </w:t>
            </w:r>
            <w:r w:rsidRPr="00C20181">
              <w:rPr>
                <w:rFonts w:ascii="Garamond" w:hAnsi="Garamond"/>
                <w:bCs/>
                <w:sz w:val="24"/>
                <w:szCs w:val="24"/>
              </w:rPr>
              <w:t>Value</w:t>
            </w:r>
          </w:p>
        </w:tc>
        <w:tc>
          <w:tcPr>
            <w:tcW w:w="1933" w:type="dxa"/>
            <w:vAlign w:val="center"/>
          </w:tcPr>
          <w:p w14:paraId="79BA06F5" w14:textId="43B6ABD6" w:rsidR="00765544" w:rsidRPr="00096253" w:rsidRDefault="00321F51" w:rsidP="000B02F5">
            <w:pPr>
              <w:pStyle w:val="ListParagraph"/>
              <w:ind w:left="0" w:firstLine="436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4</w:t>
            </w:r>
            <w:r w:rsidR="00D55C32">
              <w:rPr>
                <w:rFonts w:ascii="Garamond" w:hAnsi="Garamond"/>
                <w:bCs/>
                <w:sz w:val="24"/>
                <w:szCs w:val="24"/>
              </w:rPr>
              <w:t>3.9</w:t>
            </w:r>
            <w:r w:rsidR="007F4526">
              <w:rPr>
                <w:rFonts w:ascii="Garamond" w:hAnsi="Garamond"/>
                <w:bCs/>
                <w:sz w:val="24"/>
                <w:szCs w:val="24"/>
              </w:rPr>
              <w:t>%</w:t>
            </w:r>
          </w:p>
        </w:tc>
        <w:tc>
          <w:tcPr>
            <w:tcW w:w="3600" w:type="dxa"/>
            <w:vAlign w:val="center"/>
          </w:tcPr>
          <w:p w14:paraId="70A9D1DF" w14:textId="6673416D" w:rsidR="00765544" w:rsidRPr="00096253" w:rsidRDefault="007706B1" w:rsidP="00A61B85">
            <w:pPr>
              <w:pStyle w:val="ListParagraph"/>
              <w:ind w:left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RIH requirement is maximum of 90% LTV</w:t>
            </w:r>
            <w:r w:rsidR="00FA62B6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</w:tr>
      <w:tr w:rsidR="002C12DE" w:rsidRPr="00C20181" w14:paraId="488CEB61" w14:textId="77777777" w:rsidTr="00D55C32">
        <w:tc>
          <w:tcPr>
            <w:tcW w:w="3917" w:type="dxa"/>
            <w:vAlign w:val="center"/>
          </w:tcPr>
          <w:p w14:paraId="34A56F77" w14:textId="75979133" w:rsidR="002C12DE" w:rsidRPr="00C20181" w:rsidRDefault="002C12DE" w:rsidP="00A61B85">
            <w:pPr>
              <w:pStyle w:val="ListParagraph"/>
              <w:ind w:left="0"/>
              <w:rPr>
                <w:rFonts w:ascii="Garamond" w:hAnsi="Garamond"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Cs/>
                <w:sz w:val="24"/>
                <w:szCs w:val="24"/>
              </w:rPr>
              <w:t>Initial Installment</w:t>
            </w:r>
            <w:r w:rsidR="00CD4301" w:rsidRPr="00C20181">
              <w:rPr>
                <w:rFonts w:ascii="Garamond" w:hAnsi="Garamond"/>
                <w:bCs/>
                <w:sz w:val="24"/>
                <w:szCs w:val="24"/>
              </w:rPr>
              <w:t xml:space="preserve"> (%)</w:t>
            </w:r>
            <w:r w:rsidRPr="00C20181">
              <w:rPr>
                <w:rFonts w:ascii="Garamond" w:hAnsi="Garamond"/>
                <w:bCs/>
                <w:sz w:val="24"/>
                <w:szCs w:val="24"/>
              </w:rPr>
              <w:t xml:space="preserve"> of syndication</w:t>
            </w:r>
            <w:r w:rsidR="00A11B04" w:rsidRPr="00C20181">
              <w:rPr>
                <w:rFonts w:ascii="Garamond" w:hAnsi="Garamond"/>
                <w:bCs/>
                <w:sz w:val="24"/>
                <w:szCs w:val="24"/>
              </w:rPr>
              <w:t xml:space="preserve"> proceeds</w:t>
            </w:r>
          </w:p>
        </w:tc>
        <w:tc>
          <w:tcPr>
            <w:tcW w:w="1933" w:type="dxa"/>
            <w:vAlign w:val="center"/>
          </w:tcPr>
          <w:p w14:paraId="49B1FF12" w14:textId="0F2F1C92" w:rsidR="002C12DE" w:rsidRPr="00096253" w:rsidRDefault="00AD5C3C" w:rsidP="000B02F5">
            <w:pPr>
              <w:pStyle w:val="ListParagraph"/>
              <w:ind w:left="0" w:firstLine="436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NA</w:t>
            </w:r>
          </w:p>
        </w:tc>
        <w:tc>
          <w:tcPr>
            <w:tcW w:w="3600" w:type="dxa"/>
            <w:vAlign w:val="center"/>
          </w:tcPr>
          <w:p w14:paraId="4C934362" w14:textId="2BD00597" w:rsidR="002C12DE" w:rsidRPr="00096253" w:rsidRDefault="000A0FCD" w:rsidP="00A61B85">
            <w:pPr>
              <w:pStyle w:val="ListParagraph"/>
              <w:ind w:left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LIHTC equity is fully funded</w:t>
            </w:r>
            <w:r w:rsidR="00FA62B6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</w:tr>
      <w:tr w:rsidR="002C12DE" w:rsidRPr="00C20181" w14:paraId="55787E57" w14:textId="77777777" w:rsidTr="00D55C32">
        <w:tc>
          <w:tcPr>
            <w:tcW w:w="3917" w:type="dxa"/>
            <w:vAlign w:val="center"/>
          </w:tcPr>
          <w:p w14:paraId="2FFFD5D4" w14:textId="5515A54C" w:rsidR="002C12DE" w:rsidRPr="00C20181" w:rsidRDefault="00584561" w:rsidP="00A61B85">
            <w:pPr>
              <w:pStyle w:val="ListParagraph"/>
              <w:ind w:left="0"/>
              <w:rPr>
                <w:rFonts w:ascii="Garamond" w:hAnsi="Garamond"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Cs/>
                <w:sz w:val="24"/>
                <w:szCs w:val="24"/>
              </w:rPr>
              <w:t>Acquisition Price equal to or less than Appraised value</w:t>
            </w:r>
          </w:p>
        </w:tc>
        <w:tc>
          <w:tcPr>
            <w:tcW w:w="1933" w:type="dxa"/>
            <w:vAlign w:val="center"/>
          </w:tcPr>
          <w:p w14:paraId="04BAE20A" w14:textId="2F5744E1" w:rsidR="002C12DE" w:rsidRPr="00096253" w:rsidRDefault="00AD5C3C" w:rsidP="000B02F5">
            <w:pPr>
              <w:pStyle w:val="ListParagraph"/>
              <w:ind w:left="0" w:firstLine="436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NA</w:t>
            </w:r>
          </w:p>
        </w:tc>
        <w:tc>
          <w:tcPr>
            <w:tcW w:w="3600" w:type="dxa"/>
            <w:vAlign w:val="center"/>
          </w:tcPr>
          <w:p w14:paraId="107E39B5" w14:textId="17AE27E2" w:rsidR="002C12DE" w:rsidRPr="00096253" w:rsidRDefault="007706B1" w:rsidP="00A61B85">
            <w:pPr>
              <w:pStyle w:val="ListParagraph"/>
              <w:ind w:left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NA</w:t>
            </w:r>
          </w:p>
        </w:tc>
      </w:tr>
      <w:tr w:rsidR="002C12DE" w:rsidRPr="00C20181" w14:paraId="6B486565" w14:textId="77777777" w:rsidTr="00D55C32">
        <w:tc>
          <w:tcPr>
            <w:tcW w:w="3917" w:type="dxa"/>
            <w:vAlign w:val="center"/>
          </w:tcPr>
          <w:p w14:paraId="287C3729" w14:textId="0F28055A" w:rsidR="002C12DE" w:rsidRPr="00C20181" w:rsidRDefault="00002016" w:rsidP="00A61B85">
            <w:pPr>
              <w:pStyle w:val="ListParagraph"/>
              <w:ind w:left="0"/>
              <w:rPr>
                <w:rFonts w:ascii="Garamond" w:hAnsi="Garamond"/>
                <w:bCs/>
                <w:sz w:val="24"/>
                <w:szCs w:val="24"/>
              </w:rPr>
            </w:pPr>
            <w:r w:rsidRPr="00C20181">
              <w:rPr>
                <w:rFonts w:ascii="Garamond" w:hAnsi="Garamond"/>
                <w:bCs/>
                <w:sz w:val="24"/>
                <w:szCs w:val="24"/>
              </w:rPr>
              <w:t>Operating Reserve</w:t>
            </w:r>
            <w:r w:rsidR="00DA2232" w:rsidRPr="00C20181">
              <w:rPr>
                <w:rFonts w:ascii="Garamond" w:hAnsi="Garamond"/>
                <w:bCs/>
                <w:sz w:val="24"/>
                <w:szCs w:val="24"/>
              </w:rPr>
              <w:t xml:space="preserve"> (Amt and </w:t>
            </w:r>
            <w:r w:rsidR="006A1043" w:rsidRPr="00C20181">
              <w:rPr>
                <w:rFonts w:ascii="Garamond" w:hAnsi="Garamond"/>
                <w:bCs/>
                <w:sz w:val="24"/>
                <w:szCs w:val="24"/>
              </w:rPr>
              <w:t>confirm consistency with UW requirements)</w:t>
            </w:r>
          </w:p>
        </w:tc>
        <w:tc>
          <w:tcPr>
            <w:tcW w:w="1933" w:type="dxa"/>
            <w:vAlign w:val="center"/>
          </w:tcPr>
          <w:p w14:paraId="405CE7FA" w14:textId="5B36CFD4" w:rsidR="002C12DE" w:rsidRPr="00096253" w:rsidRDefault="00AD5C3C" w:rsidP="000B02F5">
            <w:pPr>
              <w:pStyle w:val="ListParagraph"/>
              <w:ind w:left="0" w:firstLine="436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$218,141</w:t>
            </w:r>
          </w:p>
        </w:tc>
        <w:tc>
          <w:tcPr>
            <w:tcW w:w="3600" w:type="dxa"/>
            <w:vAlign w:val="center"/>
          </w:tcPr>
          <w:p w14:paraId="473C319E" w14:textId="56BD6AB5" w:rsidR="002C12DE" w:rsidRPr="00096253" w:rsidRDefault="007F4526" w:rsidP="00D55C32">
            <w:pPr>
              <w:pStyle w:val="ListParagraph"/>
              <w:ind w:left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Personal guaranty from sponsor’s principals for $100K</w:t>
            </w:r>
            <w:r w:rsidR="0018262E">
              <w:rPr>
                <w:rFonts w:ascii="Garamond" w:hAnsi="Garamond"/>
                <w:bCs/>
                <w:sz w:val="24"/>
                <w:szCs w:val="24"/>
              </w:rPr>
              <w:t xml:space="preserve"> OPEX</w:t>
            </w:r>
            <w:r w:rsidR="00D55C32"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</w:tr>
      <w:tr w:rsidR="002C12DE" w:rsidRPr="00C20181" w14:paraId="49C9DBB5" w14:textId="77777777" w:rsidTr="00D55C32">
        <w:tc>
          <w:tcPr>
            <w:tcW w:w="3917" w:type="dxa"/>
            <w:vAlign w:val="center"/>
          </w:tcPr>
          <w:p w14:paraId="0A8CB0E5" w14:textId="1B18F485" w:rsidR="002C12DE" w:rsidRPr="00C20181" w:rsidRDefault="006A1043" w:rsidP="00A61B85">
            <w:pPr>
              <w:pStyle w:val="List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C20181">
              <w:rPr>
                <w:rFonts w:ascii="Garamond" w:hAnsi="Garamond"/>
                <w:bCs/>
                <w:sz w:val="24"/>
                <w:szCs w:val="24"/>
              </w:rPr>
              <w:t>Replacement Reserve (Amt and confirm consistency with UW requirements)</w:t>
            </w:r>
          </w:p>
        </w:tc>
        <w:tc>
          <w:tcPr>
            <w:tcW w:w="1933" w:type="dxa"/>
            <w:vAlign w:val="center"/>
          </w:tcPr>
          <w:p w14:paraId="526AE741" w14:textId="4A10CC4F" w:rsidR="002C12DE" w:rsidRPr="00162A8A" w:rsidRDefault="00AD5C3C" w:rsidP="00162A8A">
            <w:pPr>
              <w:ind w:firstLine="436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>$18,000</w:t>
            </w:r>
          </w:p>
        </w:tc>
        <w:tc>
          <w:tcPr>
            <w:tcW w:w="3600" w:type="dxa"/>
            <w:vAlign w:val="center"/>
          </w:tcPr>
          <w:p w14:paraId="6A368CF1" w14:textId="12AE3E10" w:rsidR="002C12DE" w:rsidRPr="00096253" w:rsidRDefault="000A0FCD" w:rsidP="00A61B85">
            <w:pPr>
              <w:pStyle w:val="ListParagraph"/>
              <w:ind w:left="0"/>
              <w:jc w:val="both"/>
              <w:rPr>
                <w:rFonts w:ascii="Garamond" w:hAnsi="Garamond"/>
                <w:bCs/>
                <w:sz w:val="24"/>
                <w:szCs w:val="24"/>
              </w:rPr>
            </w:pPr>
            <w:r>
              <w:rPr>
                <w:rFonts w:ascii="Garamond" w:hAnsi="Garamond"/>
                <w:bCs/>
                <w:sz w:val="24"/>
                <w:szCs w:val="24"/>
              </w:rPr>
              <w:t xml:space="preserve">Initial deposit is </w:t>
            </w:r>
            <w:r w:rsidR="00AD5C3C">
              <w:rPr>
                <w:rFonts w:ascii="Garamond" w:hAnsi="Garamond"/>
                <w:bCs/>
                <w:sz w:val="24"/>
                <w:szCs w:val="24"/>
              </w:rPr>
              <w:t xml:space="preserve">$400/unit – meets </w:t>
            </w:r>
            <w:r w:rsidR="007706B1">
              <w:rPr>
                <w:rFonts w:ascii="Garamond" w:hAnsi="Garamond"/>
                <w:bCs/>
                <w:sz w:val="24"/>
                <w:szCs w:val="24"/>
              </w:rPr>
              <w:t xml:space="preserve">RIH </w:t>
            </w:r>
            <w:r w:rsidR="00AD5C3C">
              <w:rPr>
                <w:rFonts w:ascii="Garamond" w:hAnsi="Garamond"/>
                <w:bCs/>
                <w:sz w:val="24"/>
                <w:szCs w:val="24"/>
              </w:rPr>
              <w:t>UW requirements</w:t>
            </w:r>
            <w:r>
              <w:rPr>
                <w:rFonts w:ascii="Garamond" w:hAnsi="Garamond"/>
                <w:bCs/>
                <w:sz w:val="24"/>
                <w:szCs w:val="24"/>
              </w:rPr>
              <w:t>.</w:t>
            </w:r>
          </w:p>
        </w:tc>
      </w:tr>
    </w:tbl>
    <w:p w14:paraId="45EF19C0" w14:textId="77777777" w:rsidR="00C502A1" w:rsidRPr="00C20181" w:rsidRDefault="00C502A1" w:rsidP="00A61B85">
      <w:pPr>
        <w:pStyle w:val="ListParagraph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0DCA9F15" w14:textId="52E6F64B" w:rsidR="00476C39" w:rsidRDefault="004467BF" w:rsidP="00A61B85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C20181">
        <w:rPr>
          <w:rFonts w:ascii="Garamond" w:hAnsi="Garamond"/>
          <w:b/>
          <w:sz w:val="24"/>
          <w:szCs w:val="24"/>
        </w:rPr>
        <w:t>Deviations from standard underwriting</w:t>
      </w:r>
      <w:r w:rsidR="00C20181" w:rsidRPr="00C20181">
        <w:rPr>
          <w:rFonts w:ascii="Garamond" w:hAnsi="Garamond"/>
          <w:b/>
          <w:sz w:val="24"/>
          <w:szCs w:val="24"/>
        </w:rPr>
        <w:t>:</w:t>
      </w:r>
      <w:r w:rsidR="000C61B9">
        <w:rPr>
          <w:rFonts w:ascii="Garamond" w:hAnsi="Garamond"/>
          <w:b/>
          <w:sz w:val="24"/>
          <w:szCs w:val="24"/>
        </w:rPr>
        <w:t xml:space="preserve"> </w:t>
      </w:r>
      <w:r w:rsidR="00D55C32">
        <w:rPr>
          <w:rFonts w:ascii="Garamond" w:hAnsi="Garamond"/>
          <w:bCs/>
          <w:sz w:val="24"/>
          <w:szCs w:val="24"/>
        </w:rPr>
        <w:t>None</w:t>
      </w:r>
    </w:p>
    <w:p w14:paraId="4767AD85" w14:textId="77777777" w:rsidR="00D86AA2" w:rsidRPr="00C20181" w:rsidRDefault="00D86AA2" w:rsidP="00A61B85">
      <w:pPr>
        <w:spacing w:after="0" w:line="240" w:lineRule="auto"/>
        <w:jc w:val="both"/>
        <w:rPr>
          <w:rStyle w:val="CommentReference"/>
          <w:rFonts w:ascii="Garamond" w:hAnsi="Garamond"/>
          <w:sz w:val="24"/>
          <w:szCs w:val="24"/>
        </w:rPr>
      </w:pPr>
    </w:p>
    <w:p w14:paraId="59232B38" w14:textId="77777777" w:rsidR="00476C39" w:rsidRPr="00C20181" w:rsidRDefault="00476C39" w:rsidP="00A61B85">
      <w:pPr>
        <w:pStyle w:val="ListParagraph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0D0A2CA8" w14:textId="77777777" w:rsidR="007706B1" w:rsidRPr="00C20181" w:rsidRDefault="007706B1" w:rsidP="007706B1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C20181">
        <w:rPr>
          <w:rFonts w:ascii="Garamond" w:hAnsi="Garamond"/>
          <w:b/>
          <w:sz w:val="24"/>
          <w:szCs w:val="24"/>
        </w:rPr>
        <w:t>Unit Distribution and Revenue</w:t>
      </w:r>
    </w:p>
    <w:p w14:paraId="3BE3FE3C" w14:textId="77777777" w:rsidR="003D2865" w:rsidRPr="007706B1" w:rsidRDefault="003D2865" w:rsidP="007706B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45122FE6" w14:textId="4A7AC2F8" w:rsidR="00096253" w:rsidRDefault="0014242B" w:rsidP="007706B1">
      <w:pPr>
        <w:spacing w:after="0" w:line="240" w:lineRule="auto"/>
        <w:jc w:val="both"/>
      </w:pPr>
      <w:r w:rsidRPr="0014242B">
        <w:rPr>
          <w:noProof/>
        </w:rPr>
        <w:drawing>
          <wp:inline distT="0" distB="0" distL="0" distR="0" wp14:anchorId="23D803EC" wp14:editId="6EE73C92">
            <wp:extent cx="5943600" cy="12617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9B510B" w14:textId="4B810F9A" w:rsidR="00892896" w:rsidRDefault="00892896" w:rsidP="00892896">
      <w:pPr>
        <w:rPr>
          <w:rFonts w:ascii="Garamond" w:hAnsi="Garamond"/>
          <w:sz w:val="24"/>
          <w:szCs w:val="24"/>
        </w:rPr>
      </w:pPr>
    </w:p>
    <w:p w14:paraId="3140637C" w14:textId="305B6B92" w:rsidR="00892896" w:rsidRPr="002D10C4" w:rsidRDefault="00892896" w:rsidP="0018262E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30% units are subsidized </w:t>
      </w:r>
      <w:r w:rsidR="00E62707">
        <w:rPr>
          <w:rFonts w:ascii="Garamond" w:hAnsi="Garamond"/>
          <w:sz w:val="24"/>
          <w:szCs w:val="24"/>
        </w:rPr>
        <w:t>by project-based Section 811 rental assistance vouchers</w:t>
      </w:r>
      <w:r w:rsidR="007F4526">
        <w:rPr>
          <w:rFonts w:ascii="Garamond" w:hAnsi="Garamond"/>
          <w:sz w:val="24"/>
          <w:szCs w:val="24"/>
        </w:rPr>
        <w:t>; underwriting is to the subsidized rents.</w:t>
      </w:r>
    </w:p>
    <w:sectPr w:rsidR="00892896" w:rsidRPr="002D10C4" w:rsidSect="00AD12F9">
      <w:footerReference w:type="default" r:id="rId11"/>
      <w:pgSz w:w="12240" w:h="15840"/>
      <w:pgMar w:top="1152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900682" w14:textId="77777777" w:rsidR="000A1D58" w:rsidRDefault="000A1D58" w:rsidP="004A65C4">
      <w:pPr>
        <w:spacing w:after="0" w:line="240" w:lineRule="auto"/>
      </w:pPr>
      <w:r>
        <w:separator/>
      </w:r>
    </w:p>
  </w:endnote>
  <w:endnote w:type="continuationSeparator" w:id="0">
    <w:p w14:paraId="1E2F8E16" w14:textId="77777777" w:rsidR="000A1D58" w:rsidRDefault="000A1D58" w:rsidP="004A6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4C38BC" w14:textId="572E9297" w:rsidR="004A65C4" w:rsidRDefault="0018262E">
    <w:pPr>
      <w:pStyle w:val="Footer"/>
    </w:pPr>
    <w:r>
      <w:rPr>
        <w:rFonts w:ascii="Garamond" w:hAnsi="Garamond"/>
        <w:sz w:val="22"/>
        <w:szCs w:val="22"/>
      </w:rPr>
      <w:t xml:space="preserve">Revised </w:t>
    </w:r>
    <w:r w:rsidR="0069264D" w:rsidRPr="00C75974">
      <w:rPr>
        <w:rFonts w:ascii="Garamond" w:hAnsi="Garamond"/>
        <w:sz w:val="22"/>
        <w:szCs w:val="22"/>
      </w:rPr>
      <w:t>Firm Approval of Financing for</w:t>
    </w:r>
    <w:r w:rsidR="00156BB6">
      <w:rPr>
        <w:rFonts w:ascii="Garamond" w:hAnsi="Garamond"/>
        <w:sz w:val="22"/>
        <w:szCs w:val="22"/>
      </w:rPr>
      <w:t xml:space="preserve"> Lincoln Lofts</w:t>
    </w:r>
    <w:r w:rsidR="0069264D" w:rsidRPr="00C75974">
      <w:rPr>
        <w:rFonts w:ascii="Garamond" w:hAnsi="Garamond"/>
        <w:sz w:val="22"/>
        <w:szCs w:val="22"/>
      </w:rPr>
      <w:tab/>
    </w:r>
    <w:r w:rsidR="00156BB6">
      <w:rPr>
        <w:rFonts w:ascii="Garamond" w:hAnsi="Garamond"/>
        <w:sz w:val="22"/>
        <w:szCs w:val="22"/>
      </w:rPr>
      <w:t>October 21,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D97572" w14:textId="77777777" w:rsidR="000A1D58" w:rsidRDefault="000A1D58" w:rsidP="004A65C4">
      <w:pPr>
        <w:spacing w:after="0" w:line="240" w:lineRule="auto"/>
      </w:pPr>
      <w:r>
        <w:separator/>
      </w:r>
    </w:p>
  </w:footnote>
  <w:footnote w:type="continuationSeparator" w:id="0">
    <w:p w14:paraId="22C1A604" w14:textId="77777777" w:rsidR="000A1D58" w:rsidRDefault="000A1D58" w:rsidP="004A6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A5AB8"/>
    <w:multiLevelType w:val="hybridMultilevel"/>
    <w:tmpl w:val="69D21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2062F"/>
    <w:multiLevelType w:val="hybridMultilevel"/>
    <w:tmpl w:val="374CA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EC7A3D"/>
    <w:multiLevelType w:val="hybridMultilevel"/>
    <w:tmpl w:val="AEF0B3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9E1265D"/>
    <w:multiLevelType w:val="hybridMultilevel"/>
    <w:tmpl w:val="70B09EDE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4" w15:restartNumberingAfterBreak="0">
    <w:nsid w:val="3DCD0F3F"/>
    <w:multiLevelType w:val="hybridMultilevel"/>
    <w:tmpl w:val="34D8B0FA"/>
    <w:lvl w:ilvl="0" w:tplc="7F3458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6BE34D1"/>
    <w:multiLevelType w:val="hybridMultilevel"/>
    <w:tmpl w:val="C576D4B2"/>
    <w:lvl w:ilvl="0" w:tplc="5A222C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2928F3"/>
    <w:multiLevelType w:val="hybridMultilevel"/>
    <w:tmpl w:val="DB481A90"/>
    <w:lvl w:ilvl="0" w:tplc="F9B4243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EB0044B"/>
    <w:multiLevelType w:val="hybridMultilevel"/>
    <w:tmpl w:val="43269D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31BA5"/>
    <w:multiLevelType w:val="hybridMultilevel"/>
    <w:tmpl w:val="76E0E0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64B23AF"/>
    <w:multiLevelType w:val="hybridMultilevel"/>
    <w:tmpl w:val="7924B8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030EE"/>
    <w:multiLevelType w:val="hybridMultilevel"/>
    <w:tmpl w:val="88E07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B7C45"/>
    <w:multiLevelType w:val="hybridMultilevel"/>
    <w:tmpl w:val="C2C81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8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DEA"/>
    <w:rsid w:val="0000091D"/>
    <w:rsid w:val="00001C7C"/>
    <w:rsid w:val="00002016"/>
    <w:rsid w:val="00004AC1"/>
    <w:rsid w:val="00010E19"/>
    <w:rsid w:val="00016DD8"/>
    <w:rsid w:val="000170E5"/>
    <w:rsid w:val="00017EF2"/>
    <w:rsid w:val="00022AC2"/>
    <w:rsid w:val="00022C0F"/>
    <w:rsid w:val="00030B18"/>
    <w:rsid w:val="000323F9"/>
    <w:rsid w:val="000344ED"/>
    <w:rsid w:val="00041BEA"/>
    <w:rsid w:val="000434EC"/>
    <w:rsid w:val="00046729"/>
    <w:rsid w:val="00051288"/>
    <w:rsid w:val="00051897"/>
    <w:rsid w:val="00053A9D"/>
    <w:rsid w:val="00060548"/>
    <w:rsid w:val="00060D9F"/>
    <w:rsid w:val="000616C1"/>
    <w:rsid w:val="0006254A"/>
    <w:rsid w:val="00064848"/>
    <w:rsid w:val="00072F28"/>
    <w:rsid w:val="00076CED"/>
    <w:rsid w:val="0008116C"/>
    <w:rsid w:val="00084DB5"/>
    <w:rsid w:val="00085726"/>
    <w:rsid w:val="00085FE0"/>
    <w:rsid w:val="00086A40"/>
    <w:rsid w:val="000879C0"/>
    <w:rsid w:val="000920C0"/>
    <w:rsid w:val="00092AFA"/>
    <w:rsid w:val="00094801"/>
    <w:rsid w:val="00096253"/>
    <w:rsid w:val="00096B1B"/>
    <w:rsid w:val="000A016B"/>
    <w:rsid w:val="000A046A"/>
    <w:rsid w:val="000A0FCD"/>
    <w:rsid w:val="000A1D58"/>
    <w:rsid w:val="000B02F5"/>
    <w:rsid w:val="000B1036"/>
    <w:rsid w:val="000B228F"/>
    <w:rsid w:val="000B29E9"/>
    <w:rsid w:val="000B34BC"/>
    <w:rsid w:val="000B3A31"/>
    <w:rsid w:val="000B48C4"/>
    <w:rsid w:val="000C2283"/>
    <w:rsid w:val="000C2B68"/>
    <w:rsid w:val="000C43E3"/>
    <w:rsid w:val="000C5F5C"/>
    <w:rsid w:val="000C61B9"/>
    <w:rsid w:val="000D24FE"/>
    <w:rsid w:val="000D5458"/>
    <w:rsid w:val="000D7125"/>
    <w:rsid w:val="000D7C48"/>
    <w:rsid w:val="000E208A"/>
    <w:rsid w:val="000E3012"/>
    <w:rsid w:val="000E4679"/>
    <w:rsid w:val="000E5B76"/>
    <w:rsid w:val="000F6953"/>
    <w:rsid w:val="000F6FEA"/>
    <w:rsid w:val="001036CC"/>
    <w:rsid w:val="0010446A"/>
    <w:rsid w:val="00104A14"/>
    <w:rsid w:val="00113112"/>
    <w:rsid w:val="001229C5"/>
    <w:rsid w:val="0012659B"/>
    <w:rsid w:val="001271CB"/>
    <w:rsid w:val="001303B0"/>
    <w:rsid w:val="00131333"/>
    <w:rsid w:val="00132574"/>
    <w:rsid w:val="00134862"/>
    <w:rsid w:val="00135204"/>
    <w:rsid w:val="0014242B"/>
    <w:rsid w:val="001434BA"/>
    <w:rsid w:val="001445F1"/>
    <w:rsid w:val="00146570"/>
    <w:rsid w:val="00146F5B"/>
    <w:rsid w:val="00147392"/>
    <w:rsid w:val="001475E8"/>
    <w:rsid w:val="00147C9E"/>
    <w:rsid w:val="00154CA7"/>
    <w:rsid w:val="00155226"/>
    <w:rsid w:val="001559C9"/>
    <w:rsid w:val="001567C4"/>
    <w:rsid w:val="00156BB6"/>
    <w:rsid w:val="00162A8A"/>
    <w:rsid w:val="00163E78"/>
    <w:rsid w:val="00164A20"/>
    <w:rsid w:val="00164F18"/>
    <w:rsid w:val="00170649"/>
    <w:rsid w:val="00174F19"/>
    <w:rsid w:val="00177706"/>
    <w:rsid w:val="0018262E"/>
    <w:rsid w:val="00186114"/>
    <w:rsid w:val="001863E3"/>
    <w:rsid w:val="00187428"/>
    <w:rsid w:val="00195CEF"/>
    <w:rsid w:val="00195DA8"/>
    <w:rsid w:val="001A2449"/>
    <w:rsid w:val="001A37BE"/>
    <w:rsid w:val="001A6728"/>
    <w:rsid w:val="001A7202"/>
    <w:rsid w:val="001A7430"/>
    <w:rsid w:val="001A7DF4"/>
    <w:rsid w:val="001B1B16"/>
    <w:rsid w:val="001B3254"/>
    <w:rsid w:val="001B5BE9"/>
    <w:rsid w:val="001C4E37"/>
    <w:rsid w:val="001C559D"/>
    <w:rsid w:val="001C6275"/>
    <w:rsid w:val="001D039E"/>
    <w:rsid w:val="001D3C1B"/>
    <w:rsid w:val="001D3D4B"/>
    <w:rsid w:val="001D5053"/>
    <w:rsid w:val="001D564E"/>
    <w:rsid w:val="001E3A55"/>
    <w:rsid w:val="001E6064"/>
    <w:rsid w:val="001E654F"/>
    <w:rsid w:val="001F0B7C"/>
    <w:rsid w:val="001F4715"/>
    <w:rsid w:val="001F4731"/>
    <w:rsid w:val="001F579A"/>
    <w:rsid w:val="00200B5E"/>
    <w:rsid w:val="002013C9"/>
    <w:rsid w:val="00215664"/>
    <w:rsid w:val="002204B6"/>
    <w:rsid w:val="00223278"/>
    <w:rsid w:val="002233F1"/>
    <w:rsid w:val="0022391E"/>
    <w:rsid w:val="002310E9"/>
    <w:rsid w:val="002348F4"/>
    <w:rsid w:val="002357D6"/>
    <w:rsid w:val="002359EC"/>
    <w:rsid w:val="002375A1"/>
    <w:rsid w:val="00241059"/>
    <w:rsid w:val="00243B74"/>
    <w:rsid w:val="00251086"/>
    <w:rsid w:val="00262172"/>
    <w:rsid w:val="0026218D"/>
    <w:rsid w:val="00263A98"/>
    <w:rsid w:val="00264E25"/>
    <w:rsid w:val="00265123"/>
    <w:rsid w:val="002660EC"/>
    <w:rsid w:val="00267749"/>
    <w:rsid w:val="002720DF"/>
    <w:rsid w:val="00273DBD"/>
    <w:rsid w:val="00274948"/>
    <w:rsid w:val="002768F5"/>
    <w:rsid w:val="00277B3D"/>
    <w:rsid w:val="002800B4"/>
    <w:rsid w:val="00280579"/>
    <w:rsid w:val="00285F5C"/>
    <w:rsid w:val="00287E93"/>
    <w:rsid w:val="00291EF4"/>
    <w:rsid w:val="00293FE2"/>
    <w:rsid w:val="002A3585"/>
    <w:rsid w:val="002A6092"/>
    <w:rsid w:val="002A6C8A"/>
    <w:rsid w:val="002A6F70"/>
    <w:rsid w:val="002B12F4"/>
    <w:rsid w:val="002B3D19"/>
    <w:rsid w:val="002B4186"/>
    <w:rsid w:val="002B44A3"/>
    <w:rsid w:val="002B49C6"/>
    <w:rsid w:val="002B5030"/>
    <w:rsid w:val="002B5F3B"/>
    <w:rsid w:val="002B60A7"/>
    <w:rsid w:val="002B7779"/>
    <w:rsid w:val="002C041E"/>
    <w:rsid w:val="002C12DE"/>
    <w:rsid w:val="002C1E55"/>
    <w:rsid w:val="002C6614"/>
    <w:rsid w:val="002D0499"/>
    <w:rsid w:val="002D10C4"/>
    <w:rsid w:val="002D2321"/>
    <w:rsid w:val="002D4948"/>
    <w:rsid w:val="002D5473"/>
    <w:rsid w:val="002D7A1E"/>
    <w:rsid w:val="002E0C03"/>
    <w:rsid w:val="002E0C6C"/>
    <w:rsid w:val="002E5C85"/>
    <w:rsid w:val="002E6F76"/>
    <w:rsid w:val="002F24AE"/>
    <w:rsid w:val="002F77FF"/>
    <w:rsid w:val="002F7C5A"/>
    <w:rsid w:val="00302CC9"/>
    <w:rsid w:val="00304870"/>
    <w:rsid w:val="003050B7"/>
    <w:rsid w:val="00305180"/>
    <w:rsid w:val="0030608F"/>
    <w:rsid w:val="003072B5"/>
    <w:rsid w:val="00312DC7"/>
    <w:rsid w:val="003130DA"/>
    <w:rsid w:val="00321266"/>
    <w:rsid w:val="00321F51"/>
    <w:rsid w:val="0032730A"/>
    <w:rsid w:val="003337C6"/>
    <w:rsid w:val="0033656E"/>
    <w:rsid w:val="003429FA"/>
    <w:rsid w:val="00342B19"/>
    <w:rsid w:val="00344FCC"/>
    <w:rsid w:val="00345FDF"/>
    <w:rsid w:val="00346C07"/>
    <w:rsid w:val="00347829"/>
    <w:rsid w:val="00350F4D"/>
    <w:rsid w:val="00354D0A"/>
    <w:rsid w:val="00356FA8"/>
    <w:rsid w:val="00360065"/>
    <w:rsid w:val="00362CEB"/>
    <w:rsid w:val="00364600"/>
    <w:rsid w:val="0036656F"/>
    <w:rsid w:val="003669C5"/>
    <w:rsid w:val="003678B0"/>
    <w:rsid w:val="003712FF"/>
    <w:rsid w:val="00376808"/>
    <w:rsid w:val="00383BB2"/>
    <w:rsid w:val="0039288C"/>
    <w:rsid w:val="003962B7"/>
    <w:rsid w:val="003A0AAC"/>
    <w:rsid w:val="003A1CB1"/>
    <w:rsid w:val="003A2A09"/>
    <w:rsid w:val="003A36CC"/>
    <w:rsid w:val="003A3DEA"/>
    <w:rsid w:val="003A41F3"/>
    <w:rsid w:val="003A4229"/>
    <w:rsid w:val="003A44C2"/>
    <w:rsid w:val="003A4659"/>
    <w:rsid w:val="003A6673"/>
    <w:rsid w:val="003A7556"/>
    <w:rsid w:val="003A7DDD"/>
    <w:rsid w:val="003B3961"/>
    <w:rsid w:val="003B5AFB"/>
    <w:rsid w:val="003B6879"/>
    <w:rsid w:val="003C3B30"/>
    <w:rsid w:val="003C657A"/>
    <w:rsid w:val="003D018B"/>
    <w:rsid w:val="003D2865"/>
    <w:rsid w:val="003D4D92"/>
    <w:rsid w:val="003D7E59"/>
    <w:rsid w:val="003E4FAE"/>
    <w:rsid w:val="003E7ACE"/>
    <w:rsid w:val="003F0779"/>
    <w:rsid w:val="003F1B5C"/>
    <w:rsid w:val="003F4E4A"/>
    <w:rsid w:val="003F5630"/>
    <w:rsid w:val="003F6841"/>
    <w:rsid w:val="003F7B5B"/>
    <w:rsid w:val="003F7FD7"/>
    <w:rsid w:val="00400549"/>
    <w:rsid w:val="004054A5"/>
    <w:rsid w:val="00406A5E"/>
    <w:rsid w:val="004071F2"/>
    <w:rsid w:val="00415B3F"/>
    <w:rsid w:val="0042287E"/>
    <w:rsid w:val="004328BD"/>
    <w:rsid w:val="00437D34"/>
    <w:rsid w:val="00445D9B"/>
    <w:rsid w:val="004467BF"/>
    <w:rsid w:val="004544A9"/>
    <w:rsid w:val="00454E89"/>
    <w:rsid w:val="004577E7"/>
    <w:rsid w:val="00460C53"/>
    <w:rsid w:val="004610B1"/>
    <w:rsid w:val="00466789"/>
    <w:rsid w:val="00470D92"/>
    <w:rsid w:val="004723A6"/>
    <w:rsid w:val="004732D1"/>
    <w:rsid w:val="00476C39"/>
    <w:rsid w:val="0048628B"/>
    <w:rsid w:val="00487046"/>
    <w:rsid w:val="00492056"/>
    <w:rsid w:val="00492772"/>
    <w:rsid w:val="00493E7B"/>
    <w:rsid w:val="00495E2E"/>
    <w:rsid w:val="00497055"/>
    <w:rsid w:val="004974C5"/>
    <w:rsid w:val="004976B9"/>
    <w:rsid w:val="004A05FE"/>
    <w:rsid w:val="004A33D5"/>
    <w:rsid w:val="004A4236"/>
    <w:rsid w:val="004A5D1D"/>
    <w:rsid w:val="004A65C4"/>
    <w:rsid w:val="004B4972"/>
    <w:rsid w:val="004B4EB3"/>
    <w:rsid w:val="004B61B2"/>
    <w:rsid w:val="004C04E0"/>
    <w:rsid w:val="004D16AB"/>
    <w:rsid w:val="004D1812"/>
    <w:rsid w:val="004D4613"/>
    <w:rsid w:val="004D59F4"/>
    <w:rsid w:val="004D775D"/>
    <w:rsid w:val="004E5236"/>
    <w:rsid w:val="004E7828"/>
    <w:rsid w:val="004F443C"/>
    <w:rsid w:val="004F6DCA"/>
    <w:rsid w:val="00501578"/>
    <w:rsid w:val="0050239E"/>
    <w:rsid w:val="0050528B"/>
    <w:rsid w:val="00511078"/>
    <w:rsid w:val="0051363A"/>
    <w:rsid w:val="00515A25"/>
    <w:rsid w:val="00521474"/>
    <w:rsid w:val="005242E5"/>
    <w:rsid w:val="00524B20"/>
    <w:rsid w:val="00533370"/>
    <w:rsid w:val="00537423"/>
    <w:rsid w:val="0054045E"/>
    <w:rsid w:val="00540793"/>
    <w:rsid w:val="00540CB5"/>
    <w:rsid w:val="005446E8"/>
    <w:rsid w:val="0054477B"/>
    <w:rsid w:val="00545BF7"/>
    <w:rsid w:val="00546F13"/>
    <w:rsid w:val="00547EF3"/>
    <w:rsid w:val="005527EA"/>
    <w:rsid w:val="005606FD"/>
    <w:rsid w:val="00560C01"/>
    <w:rsid w:val="00560D9F"/>
    <w:rsid w:val="005642CF"/>
    <w:rsid w:val="0056550F"/>
    <w:rsid w:val="005705BF"/>
    <w:rsid w:val="005726E3"/>
    <w:rsid w:val="005748C1"/>
    <w:rsid w:val="00575FD0"/>
    <w:rsid w:val="00584561"/>
    <w:rsid w:val="0059019B"/>
    <w:rsid w:val="00590BFA"/>
    <w:rsid w:val="00593535"/>
    <w:rsid w:val="005A6D47"/>
    <w:rsid w:val="005B02EE"/>
    <w:rsid w:val="005B2039"/>
    <w:rsid w:val="005B4218"/>
    <w:rsid w:val="005B483E"/>
    <w:rsid w:val="005B51DA"/>
    <w:rsid w:val="005B725D"/>
    <w:rsid w:val="005C0100"/>
    <w:rsid w:val="005C434D"/>
    <w:rsid w:val="005D078F"/>
    <w:rsid w:val="005D2164"/>
    <w:rsid w:val="005D242D"/>
    <w:rsid w:val="005E1EBA"/>
    <w:rsid w:val="005E5985"/>
    <w:rsid w:val="005F2096"/>
    <w:rsid w:val="005F3BE9"/>
    <w:rsid w:val="005F6929"/>
    <w:rsid w:val="0060237B"/>
    <w:rsid w:val="00606547"/>
    <w:rsid w:val="0061537D"/>
    <w:rsid w:val="00615524"/>
    <w:rsid w:val="00617FBA"/>
    <w:rsid w:val="006313AE"/>
    <w:rsid w:val="00633064"/>
    <w:rsid w:val="0063476D"/>
    <w:rsid w:val="00635FD0"/>
    <w:rsid w:val="006364BA"/>
    <w:rsid w:val="00640600"/>
    <w:rsid w:val="00642030"/>
    <w:rsid w:val="00643C8F"/>
    <w:rsid w:val="00646B94"/>
    <w:rsid w:val="006536FE"/>
    <w:rsid w:val="0065487A"/>
    <w:rsid w:val="00657E7B"/>
    <w:rsid w:val="00662E44"/>
    <w:rsid w:val="00664190"/>
    <w:rsid w:val="006647A6"/>
    <w:rsid w:val="00664ACB"/>
    <w:rsid w:val="006662F4"/>
    <w:rsid w:val="00666834"/>
    <w:rsid w:val="00667584"/>
    <w:rsid w:val="00670C32"/>
    <w:rsid w:val="00675CD4"/>
    <w:rsid w:val="00676688"/>
    <w:rsid w:val="00676B02"/>
    <w:rsid w:val="00680994"/>
    <w:rsid w:val="006822BD"/>
    <w:rsid w:val="00682E51"/>
    <w:rsid w:val="00683AE2"/>
    <w:rsid w:val="00685A98"/>
    <w:rsid w:val="00686D54"/>
    <w:rsid w:val="00687DAD"/>
    <w:rsid w:val="006916C9"/>
    <w:rsid w:val="00691B1D"/>
    <w:rsid w:val="0069264D"/>
    <w:rsid w:val="00692AAF"/>
    <w:rsid w:val="006951E8"/>
    <w:rsid w:val="006A0602"/>
    <w:rsid w:val="006A1043"/>
    <w:rsid w:val="006A267A"/>
    <w:rsid w:val="006A43CD"/>
    <w:rsid w:val="006A7269"/>
    <w:rsid w:val="006B0A33"/>
    <w:rsid w:val="006B47A7"/>
    <w:rsid w:val="006B53F4"/>
    <w:rsid w:val="006C16CA"/>
    <w:rsid w:val="006C1888"/>
    <w:rsid w:val="006C53A8"/>
    <w:rsid w:val="006C5C48"/>
    <w:rsid w:val="006D2AF0"/>
    <w:rsid w:val="006E1443"/>
    <w:rsid w:val="006E16C2"/>
    <w:rsid w:val="006F1290"/>
    <w:rsid w:val="006F384F"/>
    <w:rsid w:val="006F42D0"/>
    <w:rsid w:val="006F6EB1"/>
    <w:rsid w:val="0070078D"/>
    <w:rsid w:val="0070145D"/>
    <w:rsid w:val="00703251"/>
    <w:rsid w:val="007036B5"/>
    <w:rsid w:val="007058EB"/>
    <w:rsid w:val="00710D91"/>
    <w:rsid w:val="007125D1"/>
    <w:rsid w:val="00716047"/>
    <w:rsid w:val="0072362B"/>
    <w:rsid w:val="007273DF"/>
    <w:rsid w:val="00732668"/>
    <w:rsid w:val="00734961"/>
    <w:rsid w:val="00735CA5"/>
    <w:rsid w:val="00741528"/>
    <w:rsid w:val="00741962"/>
    <w:rsid w:val="00741973"/>
    <w:rsid w:val="00742971"/>
    <w:rsid w:val="007432C7"/>
    <w:rsid w:val="007448D2"/>
    <w:rsid w:val="00747846"/>
    <w:rsid w:val="00752B03"/>
    <w:rsid w:val="00752E26"/>
    <w:rsid w:val="0075615A"/>
    <w:rsid w:val="00756207"/>
    <w:rsid w:val="007605B9"/>
    <w:rsid w:val="00765544"/>
    <w:rsid w:val="0076649E"/>
    <w:rsid w:val="00766CDF"/>
    <w:rsid w:val="007706B1"/>
    <w:rsid w:val="007711DF"/>
    <w:rsid w:val="007716DB"/>
    <w:rsid w:val="00773E4E"/>
    <w:rsid w:val="00775EA2"/>
    <w:rsid w:val="0077612C"/>
    <w:rsid w:val="00776D24"/>
    <w:rsid w:val="00780179"/>
    <w:rsid w:val="00781E92"/>
    <w:rsid w:val="007830E6"/>
    <w:rsid w:val="007871BE"/>
    <w:rsid w:val="007901E5"/>
    <w:rsid w:val="007932A1"/>
    <w:rsid w:val="007965FC"/>
    <w:rsid w:val="007A14BE"/>
    <w:rsid w:val="007A65B5"/>
    <w:rsid w:val="007A6DCA"/>
    <w:rsid w:val="007A6F83"/>
    <w:rsid w:val="007A72D6"/>
    <w:rsid w:val="007A7A59"/>
    <w:rsid w:val="007B087F"/>
    <w:rsid w:val="007B123C"/>
    <w:rsid w:val="007B441A"/>
    <w:rsid w:val="007B5CE7"/>
    <w:rsid w:val="007B606B"/>
    <w:rsid w:val="007B670C"/>
    <w:rsid w:val="007C6F0F"/>
    <w:rsid w:val="007D02E7"/>
    <w:rsid w:val="007D25BC"/>
    <w:rsid w:val="007E24B7"/>
    <w:rsid w:val="007E5DE5"/>
    <w:rsid w:val="007F2302"/>
    <w:rsid w:val="007F2D38"/>
    <w:rsid w:val="007F4526"/>
    <w:rsid w:val="007F62B1"/>
    <w:rsid w:val="007F6451"/>
    <w:rsid w:val="00801638"/>
    <w:rsid w:val="00804DF7"/>
    <w:rsid w:val="00804EA9"/>
    <w:rsid w:val="008052BD"/>
    <w:rsid w:val="0080676D"/>
    <w:rsid w:val="008135BD"/>
    <w:rsid w:val="00814C93"/>
    <w:rsid w:val="00814EA4"/>
    <w:rsid w:val="0083114A"/>
    <w:rsid w:val="00834739"/>
    <w:rsid w:val="00834A75"/>
    <w:rsid w:val="00835779"/>
    <w:rsid w:val="008418AB"/>
    <w:rsid w:val="00851E9D"/>
    <w:rsid w:val="00852572"/>
    <w:rsid w:val="00852876"/>
    <w:rsid w:val="0085518F"/>
    <w:rsid w:val="00855B3A"/>
    <w:rsid w:val="00855C5F"/>
    <w:rsid w:val="00856A76"/>
    <w:rsid w:val="00857AAF"/>
    <w:rsid w:val="00857E57"/>
    <w:rsid w:val="00861FD6"/>
    <w:rsid w:val="00862EDB"/>
    <w:rsid w:val="00864B87"/>
    <w:rsid w:val="00864C32"/>
    <w:rsid w:val="00865D7D"/>
    <w:rsid w:val="008669CF"/>
    <w:rsid w:val="00866C32"/>
    <w:rsid w:val="00872665"/>
    <w:rsid w:val="00872D34"/>
    <w:rsid w:val="0087598C"/>
    <w:rsid w:val="008774A9"/>
    <w:rsid w:val="008776A7"/>
    <w:rsid w:val="008800D2"/>
    <w:rsid w:val="0088733D"/>
    <w:rsid w:val="0089257C"/>
    <w:rsid w:val="00892896"/>
    <w:rsid w:val="00893256"/>
    <w:rsid w:val="0089327D"/>
    <w:rsid w:val="0089363F"/>
    <w:rsid w:val="008938C4"/>
    <w:rsid w:val="00894BB6"/>
    <w:rsid w:val="008968BE"/>
    <w:rsid w:val="00896BB5"/>
    <w:rsid w:val="008A11CC"/>
    <w:rsid w:val="008A2D77"/>
    <w:rsid w:val="008A3244"/>
    <w:rsid w:val="008A53F1"/>
    <w:rsid w:val="008B2F37"/>
    <w:rsid w:val="008B4427"/>
    <w:rsid w:val="008B7841"/>
    <w:rsid w:val="008B7C65"/>
    <w:rsid w:val="008C22DD"/>
    <w:rsid w:val="008C4EE3"/>
    <w:rsid w:val="008D04CF"/>
    <w:rsid w:val="008D3300"/>
    <w:rsid w:val="008D5C2E"/>
    <w:rsid w:val="008D698F"/>
    <w:rsid w:val="008E1066"/>
    <w:rsid w:val="008E2162"/>
    <w:rsid w:val="008E2C7E"/>
    <w:rsid w:val="008E64EB"/>
    <w:rsid w:val="008E6A30"/>
    <w:rsid w:val="008E7716"/>
    <w:rsid w:val="008E797A"/>
    <w:rsid w:val="008F0C20"/>
    <w:rsid w:val="008F307A"/>
    <w:rsid w:val="008F3749"/>
    <w:rsid w:val="008F3D30"/>
    <w:rsid w:val="008F46B8"/>
    <w:rsid w:val="008F49FC"/>
    <w:rsid w:val="008F723D"/>
    <w:rsid w:val="008F735A"/>
    <w:rsid w:val="009003A9"/>
    <w:rsid w:val="009040E6"/>
    <w:rsid w:val="00910B84"/>
    <w:rsid w:val="00915065"/>
    <w:rsid w:val="00915ED5"/>
    <w:rsid w:val="00915FB6"/>
    <w:rsid w:val="00916944"/>
    <w:rsid w:val="009171D9"/>
    <w:rsid w:val="00917FDF"/>
    <w:rsid w:val="00920741"/>
    <w:rsid w:val="00924EBA"/>
    <w:rsid w:val="00926498"/>
    <w:rsid w:val="00940B35"/>
    <w:rsid w:val="00943550"/>
    <w:rsid w:val="00943AAD"/>
    <w:rsid w:val="00945036"/>
    <w:rsid w:val="00945C31"/>
    <w:rsid w:val="009464DB"/>
    <w:rsid w:val="00946841"/>
    <w:rsid w:val="00950AD1"/>
    <w:rsid w:val="00952A1B"/>
    <w:rsid w:val="00956B68"/>
    <w:rsid w:val="00964844"/>
    <w:rsid w:val="00971353"/>
    <w:rsid w:val="009724CE"/>
    <w:rsid w:val="00975645"/>
    <w:rsid w:val="00980741"/>
    <w:rsid w:val="00981A32"/>
    <w:rsid w:val="00982AC3"/>
    <w:rsid w:val="00982E3B"/>
    <w:rsid w:val="00983DF8"/>
    <w:rsid w:val="00991D5F"/>
    <w:rsid w:val="00992339"/>
    <w:rsid w:val="009A0914"/>
    <w:rsid w:val="009A0B2F"/>
    <w:rsid w:val="009A26A4"/>
    <w:rsid w:val="009B0ECB"/>
    <w:rsid w:val="009B7FA8"/>
    <w:rsid w:val="009C46FB"/>
    <w:rsid w:val="009C4945"/>
    <w:rsid w:val="009D01CC"/>
    <w:rsid w:val="009E0025"/>
    <w:rsid w:val="009E4D2C"/>
    <w:rsid w:val="009E7EA6"/>
    <w:rsid w:val="009F3152"/>
    <w:rsid w:val="009F5593"/>
    <w:rsid w:val="009F7310"/>
    <w:rsid w:val="00A00728"/>
    <w:rsid w:val="00A017E0"/>
    <w:rsid w:val="00A05C49"/>
    <w:rsid w:val="00A07527"/>
    <w:rsid w:val="00A11B04"/>
    <w:rsid w:val="00A14811"/>
    <w:rsid w:val="00A14B22"/>
    <w:rsid w:val="00A206C9"/>
    <w:rsid w:val="00A2161B"/>
    <w:rsid w:val="00A23521"/>
    <w:rsid w:val="00A235CE"/>
    <w:rsid w:val="00A23859"/>
    <w:rsid w:val="00A30BBE"/>
    <w:rsid w:val="00A33C85"/>
    <w:rsid w:val="00A3516E"/>
    <w:rsid w:val="00A3539F"/>
    <w:rsid w:val="00A377BF"/>
    <w:rsid w:val="00A42417"/>
    <w:rsid w:val="00A43BEA"/>
    <w:rsid w:val="00A43C3F"/>
    <w:rsid w:val="00A46CB3"/>
    <w:rsid w:val="00A50794"/>
    <w:rsid w:val="00A567D8"/>
    <w:rsid w:val="00A573CF"/>
    <w:rsid w:val="00A57896"/>
    <w:rsid w:val="00A60231"/>
    <w:rsid w:val="00A6057B"/>
    <w:rsid w:val="00A61B85"/>
    <w:rsid w:val="00A65521"/>
    <w:rsid w:val="00A6722D"/>
    <w:rsid w:val="00A74181"/>
    <w:rsid w:val="00A7755D"/>
    <w:rsid w:val="00A77E98"/>
    <w:rsid w:val="00A80010"/>
    <w:rsid w:val="00A82966"/>
    <w:rsid w:val="00A832D7"/>
    <w:rsid w:val="00A84192"/>
    <w:rsid w:val="00A85C43"/>
    <w:rsid w:val="00A86308"/>
    <w:rsid w:val="00A87877"/>
    <w:rsid w:val="00A94F45"/>
    <w:rsid w:val="00A951FD"/>
    <w:rsid w:val="00A96351"/>
    <w:rsid w:val="00AA67FA"/>
    <w:rsid w:val="00AA6D4F"/>
    <w:rsid w:val="00AB198D"/>
    <w:rsid w:val="00AB1F22"/>
    <w:rsid w:val="00AB2F39"/>
    <w:rsid w:val="00AB3D5B"/>
    <w:rsid w:val="00AB3FAD"/>
    <w:rsid w:val="00AB6309"/>
    <w:rsid w:val="00AB652E"/>
    <w:rsid w:val="00AC2A62"/>
    <w:rsid w:val="00AC520D"/>
    <w:rsid w:val="00AC5373"/>
    <w:rsid w:val="00AC70AB"/>
    <w:rsid w:val="00AD12F9"/>
    <w:rsid w:val="00AD29CA"/>
    <w:rsid w:val="00AD5C3C"/>
    <w:rsid w:val="00AD5E35"/>
    <w:rsid w:val="00AD62F3"/>
    <w:rsid w:val="00AD6653"/>
    <w:rsid w:val="00AE1DB9"/>
    <w:rsid w:val="00AE6C9F"/>
    <w:rsid w:val="00AE78FA"/>
    <w:rsid w:val="00AF0ACB"/>
    <w:rsid w:val="00AF616C"/>
    <w:rsid w:val="00AF718C"/>
    <w:rsid w:val="00B00931"/>
    <w:rsid w:val="00B01AE9"/>
    <w:rsid w:val="00B0308E"/>
    <w:rsid w:val="00B10296"/>
    <w:rsid w:val="00B10791"/>
    <w:rsid w:val="00B11DCB"/>
    <w:rsid w:val="00B130EB"/>
    <w:rsid w:val="00B163AA"/>
    <w:rsid w:val="00B235A9"/>
    <w:rsid w:val="00B241ED"/>
    <w:rsid w:val="00B25958"/>
    <w:rsid w:val="00B334D5"/>
    <w:rsid w:val="00B33886"/>
    <w:rsid w:val="00B33E92"/>
    <w:rsid w:val="00B34109"/>
    <w:rsid w:val="00B35F28"/>
    <w:rsid w:val="00B40CBC"/>
    <w:rsid w:val="00B4265F"/>
    <w:rsid w:val="00B431EF"/>
    <w:rsid w:val="00B45A38"/>
    <w:rsid w:val="00B45B34"/>
    <w:rsid w:val="00B54AB2"/>
    <w:rsid w:val="00B54B94"/>
    <w:rsid w:val="00B552D0"/>
    <w:rsid w:val="00B55DA9"/>
    <w:rsid w:val="00B562C2"/>
    <w:rsid w:val="00B63453"/>
    <w:rsid w:val="00B70532"/>
    <w:rsid w:val="00B74693"/>
    <w:rsid w:val="00B819B1"/>
    <w:rsid w:val="00B81DF5"/>
    <w:rsid w:val="00B852CF"/>
    <w:rsid w:val="00B86251"/>
    <w:rsid w:val="00B863BD"/>
    <w:rsid w:val="00B8683D"/>
    <w:rsid w:val="00B90769"/>
    <w:rsid w:val="00B93B22"/>
    <w:rsid w:val="00BA44EF"/>
    <w:rsid w:val="00BA632B"/>
    <w:rsid w:val="00BA6398"/>
    <w:rsid w:val="00BC08DA"/>
    <w:rsid w:val="00BC0EA9"/>
    <w:rsid w:val="00BC0FD5"/>
    <w:rsid w:val="00BC1652"/>
    <w:rsid w:val="00BC4AE6"/>
    <w:rsid w:val="00BC6D3A"/>
    <w:rsid w:val="00BC6D87"/>
    <w:rsid w:val="00BD0841"/>
    <w:rsid w:val="00BD2055"/>
    <w:rsid w:val="00BD5C86"/>
    <w:rsid w:val="00BE2064"/>
    <w:rsid w:val="00BE23D8"/>
    <w:rsid w:val="00BE4D4F"/>
    <w:rsid w:val="00BE72E9"/>
    <w:rsid w:val="00BF3304"/>
    <w:rsid w:val="00BF66C5"/>
    <w:rsid w:val="00BF6D62"/>
    <w:rsid w:val="00BF77FF"/>
    <w:rsid w:val="00C153FF"/>
    <w:rsid w:val="00C15B27"/>
    <w:rsid w:val="00C163E5"/>
    <w:rsid w:val="00C20181"/>
    <w:rsid w:val="00C21B90"/>
    <w:rsid w:val="00C227DE"/>
    <w:rsid w:val="00C2504F"/>
    <w:rsid w:val="00C26768"/>
    <w:rsid w:val="00C27102"/>
    <w:rsid w:val="00C306A4"/>
    <w:rsid w:val="00C339EF"/>
    <w:rsid w:val="00C415C4"/>
    <w:rsid w:val="00C44E84"/>
    <w:rsid w:val="00C502A1"/>
    <w:rsid w:val="00C533BE"/>
    <w:rsid w:val="00C55406"/>
    <w:rsid w:val="00C57B4A"/>
    <w:rsid w:val="00C610CC"/>
    <w:rsid w:val="00C65CBA"/>
    <w:rsid w:val="00C7123F"/>
    <w:rsid w:val="00C7246B"/>
    <w:rsid w:val="00C72D80"/>
    <w:rsid w:val="00C72F54"/>
    <w:rsid w:val="00C73BC6"/>
    <w:rsid w:val="00C75974"/>
    <w:rsid w:val="00C80DD9"/>
    <w:rsid w:val="00C82382"/>
    <w:rsid w:val="00C824F7"/>
    <w:rsid w:val="00C82952"/>
    <w:rsid w:val="00C83989"/>
    <w:rsid w:val="00C84AC2"/>
    <w:rsid w:val="00C852F3"/>
    <w:rsid w:val="00C86D50"/>
    <w:rsid w:val="00C873B1"/>
    <w:rsid w:val="00C90C04"/>
    <w:rsid w:val="00C92E72"/>
    <w:rsid w:val="00C93905"/>
    <w:rsid w:val="00C95777"/>
    <w:rsid w:val="00CA1B1F"/>
    <w:rsid w:val="00CB1FBA"/>
    <w:rsid w:val="00CB33C1"/>
    <w:rsid w:val="00CB5F77"/>
    <w:rsid w:val="00CB7B45"/>
    <w:rsid w:val="00CC0870"/>
    <w:rsid w:val="00CC23C2"/>
    <w:rsid w:val="00CC3F5E"/>
    <w:rsid w:val="00CD050B"/>
    <w:rsid w:val="00CD18DA"/>
    <w:rsid w:val="00CD3678"/>
    <w:rsid w:val="00CD4301"/>
    <w:rsid w:val="00CD513B"/>
    <w:rsid w:val="00CE0553"/>
    <w:rsid w:val="00CE2393"/>
    <w:rsid w:val="00CE5AAC"/>
    <w:rsid w:val="00CE5C94"/>
    <w:rsid w:val="00CE725E"/>
    <w:rsid w:val="00CE73ED"/>
    <w:rsid w:val="00CE78FA"/>
    <w:rsid w:val="00CF11C0"/>
    <w:rsid w:val="00CF4F9A"/>
    <w:rsid w:val="00CF52A6"/>
    <w:rsid w:val="00D04554"/>
    <w:rsid w:val="00D06B8B"/>
    <w:rsid w:val="00D06D8E"/>
    <w:rsid w:val="00D07766"/>
    <w:rsid w:val="00D10480"/>
    <w:rsid w:val="00D10E4B"/>
    <w:rsid w:val="00D11869"/>
    <w:rsid w:val="00D1188C"/>
    <w:rsid w:val="00D13FB4"/>
    <w:rsid w:val="00D173FA"/>
    <w:rsid w:val="00D21E2E"/>
    <w:rsid w:val="00D24320"/>
    <w:rsid w:val="00D26DF9"/>
    <w:rsid w:val="00D36A55"/>
    <w:rsid w:val="00D41E21"/>
    <w:rsid w:val="00D55C32"/>
    <w:rsid w:val="00D55C3A"/>
    <w:rsid w:val="00D56317"/>
    <w:rsid w:val="00D57047"/>
    <w:rsid w:val="00D62428"/>
    <w:rsid w:val="00D6385E"/>
    <w:rsid w:val="00D649F6"/>
    <w:rsid w:val="00D70EFA"/>
    <w:rsid w:val="00D72001"/>
    <w:rsid w:val="00D73F5C"/>
    <w:rsid w:val="00D808CE"/>
    <w:rsid w:val="00D80BD1"/>
    <w:rsid w:val="00D80D39"/>
    <w:rsid w:val="00D82AC4"/>
    <w:rsid w:val="00D838EF"/>
    <w:rsid w:val="00D851EF"/>
    <w:rsid w:val="00D86AA2"/>
    <w:rsid w:val="00D90B8B"/>
    <w:rsid w:val="00D9179F"/>
    <w:rsid w:val="00D97E4C"/>
    <w:rsid w:val="00DA2232"/>
    <w:rsid w:val="00DA35BE"/>
    <w:rsid w:val="00DA3DBB"/>
    <w:rsid w:val="00DA4958"/>
    <w:rsid w:val="00DA4BE9"/>
    <w:rsid w:val="00DB2E88"/>
    <w:rsid w:val="00DB3080"/>
    <w:rsid w:val="00DB5424"/>
    <w:rsid w:val="00DB76BF"/>
    <w:rsid w:val="00DB7C21"/>
    <w:rsid w:val="00DC03CB"/>
    <w:rsid w:val="00DC1A18"/>
    <w:rsid w:val="00DC4A97"/>
    <w:rsid w:val="00DC7077"/>
    <w:rsid w:val="00DC7718"/>
    <w:rsid w:val="00DD0A7F"/>
    <w:rsid w:val="00DD1750"/>
    <w:rsid w:val="00DD26FF"/>
    <w:rsid w:val="00DD4C5F"/>
    <w:rsid w:val="00DE1694"/>
    <w:rsid w:val="00DF07D4"/>
    <w:rsid w:val="00DF546E"/>
    <w:rsid w:val="00E046FD"/>
    <w:rsid w:val="00E04FBC"/>
    <w:rsid w:val="00E16079"/>
    <w:rsid w:val="00E20369"/>
    <w:rsid w:val="00E22422"/>
    <w:rsid w:val="00E237A4"/>
    <w:rsid w:val="00E253EE"/>
    <w:rsid w:val="00E40959"/>
    <w:rsid w:val="00E43055"/>
    <w:rsid w:val="00E4396A"/>
    <w:rsid w:val="00E52877"/>
    <w:rsid w:val="00E52992"/>
    <w:rsid w:val="00E6036A"/>
    <w:rsid w:val="00E6065C"/>
    <w:rsid w:val="00E62707"/>
    <w:rsid w:val="00E62C7C"/>
    <w:rsid w:val="00E6692F"/>
    <w:rsid w:val="00E66E33"/>
    <w:rsid w:val="00E745BF"/>
    <w:rsid w:val="00E807C9"/>
    <w:rsid w:val="00E86D79"/>
    <w:rsid w:val="00E92FC2"/>
    <w:rsid w:val="00E95A14"/>
    <w:rsid w:val="00E966F5"/>
    <w:rsid w:val="00E96820"/>
    <w:rsid w:val="00EA0E05"/>
    <w:rsid w:val="00EA151D"/>
    <w:rsid w:val="00EA1ED5"/>
    <w:rsid w:val="00EA2E65"/>
    <w:rsid w:val="00EA4363"/>
    <w:rsid w:val="00EA4AD9"/>
    <w:rsid w:val="00EA5911"/>
    <w:rsid w:val="00EA6FFD"/>
    <w:rsid w:val="00EA74BC"/>
    <w:rsid w:val="00EB2217"/>
    <w:rsid w:val="00EB29A3"/>
    <w:rsid w:val="00EB44B6"/>
    <w:rsid w:val="00EC0A22"/>
    <w:rsid w:val="00EC0EA2"/>
    <w:rsid w:val="00EC5146"/>
    <w:rsid w:val="00EC73BC"/>
    <w:rsid w:val="00EE1291"/>
    <w:rsid w:val="00EE3646"/>
    <w:rsid w:val="00EE6DC7"/>
    <w:rsid w:val="00EF25F7"/>
    <w:rsid w:val="00EF2DF2"/>
    <w:rsid w:val="00EF3612"/>
    <w:rsid w:val="00EF4015"/>
    <w:rsid w:val="00EF693F"/>
    <w:rsid w:val="00F00667"/>
    <w:rsid w:val="00F03CCF"/>
    <w:rsid w:val="00F04159"/>
    <w:rsid w:val="00F052C6"/>
    <w:rsid w:val="00F07ABF"/>
    <w:rsid w:val="00F177DA"/>
    <w:rsid w:val="00F22E14"/>
    <w:rsid w:val="00F24EE5"/>
    <w:rsid w:val="00F37460"/>
    <w:rsid w:val="00F4297E"/>
    <w:rsid w:val="00F533B1"/>
    <w:rsid w:val="00F54018"/>
    <w:rsid w:val="00F56878"/>
    <w:rsid w:val="00F5704D"/>
    <w:rsid w:val="00F626B3"/>
    <w:rsid w:val="00F65162"/>
    <w:rsid w:val="00F663F6"/>
    <w:rsid w:val="00F70029"/>
    <w:rsid w:val="00F7006D"/>
    <w:rsid w:val="00F704C8"/>
    <w:rsid w:val="00F70794"/>
    <w:rsid w:val="00F7175D"/>
    <w:rsid w:val="00F728A3"/>
    <w:rsid w:val="00F769EA"/>
    <w:rsid w:val="00F81A0D"/>
    <w:rsid w:val="00F81A9A"/>
    <w:rsid w:val="00F85BFB"/>
    <w:rsid w:val="00F900EF"/>
    <w:rsid w:val="00F97AD0"/>
    <w:rsid w:val="00FA08A4"/>
    <w:rsid w:val="00FA2028"/>
    <w:rsid w:val="00FA3268"/>
    <w:rsid w:val="00FA3E46"/>
    <w:rsid w:val="00FA4A5A"/>
    <w:rsid w:val="00FA62B6"/>
    <w:rsid w:val="00FA6D44"/>
    <w:rsid w:val="00FA703D"/>
    <w:rsid w:val="00FA769D"/>
    <w:rsid w:val="00FA7CFD"/>
    <w:rsid w:val="00FB1392"/>
    <w:rsid w:val="00FB299D"/>
    <w:rsid w:val="00FB4D56"/>
    <w:rsid w:val="00FD322B"/>
    <w:rsid w:val="00FD50AF"/>
    <w:rsid w:val="00FD6594"/>
    <w:rsid w:val="00FE0755"/>
    <w:rsid w:val="00FE2660"/>
    <w:rsid w:val="00FE6F66"/>
    <w:rsid w:val="00FF15D4"/>
    <w:rsid w:val="00FF2174"/>
    <w:rsid w:val="00FF23E6"/>
    <w:rsid w:val="00FF2859"/>
    <w:rsid w:val="00FF2F2C"/>
    <w:rsid w:val="00FF31EA"/>
    <w:rsid w:val="00FF56FF"/>
    <w:rsid w:val="00FF5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6D09C9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3DEA"/>
    <w:pPr>
      <w:ind w:left="720"/>
      <w:contextualSpacing/>
    </w:pPr>
  </w:style>
  <w:style w:type="paragraph" w:styleId="Footer">
    <w:name w:val="footer"/>
    <w:basedOn w:val="Normal"/>
    <w:link w:val="FooterChar"/>
    <w:rsid w:val="004A65C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4A65C4"/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4A6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65C4"/>
  </w:style>
  <w:style w:type="paragraph" w:styleId="BalloonText">
    <w:name w:val="Balloon Text"/>
    <w:basedOn w:val="Normal"/>
    <w:link w:val="BalloonTextChar"/>
    <w:uiPriority w:val="99"/>
    <w:semiHidden/>
    <w:unhideWhenUsed/>
    <w:rsid w:val="004A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5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B483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52B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B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B0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B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B03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A206C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A206C9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6C1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92772"/>
  </w:style>
  <w:style w:type="paragraph" w:styleId="Revision">
    <w:name w:val="Revision"/>
    <w:hidden/>
    <w:uiPriority w:val="99"/>
    <w:semiHidden/>
    <w:rsid w:val="004D59F4"/>
    <w:pPr>
      <w:spacing w:after="0" w:line="240" w:lineRule="auto"/>
    </w:pPr>
  </w:style>
  <w:style w:type="character" w:styleId="PageNumber">
    <w:name w:val="page number"/>
    <w:rsid w:val="0069264D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75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A1C47A-1330-467A-B95F-874F4942A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519</Words>
  <Characters>2951</Characters>
  <Application>Microsoft Office Word</Application>
  <DocSecurity>4</DocSecurity>
  <Lines>79</Lines>
  <Paragraphs>27</Paragraphs>
  <ScaleCrop>false</ScaleCrop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2021-10-04T16:36:00Z</dcterms:created>
  <dcterms:modified xsi:type="dcterms:W3CDTF">2021-10-04T16:36:00Z</dcterms:modified>
</cp:coreProperties>
</file>