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2EF3" w14:textId="728B2389" w:rsidR="00CD0988" w:rsidRPr="00715816" w:rsidRDefault="001C25F5" w:rsidP="00CD0988">
      <w:pPr>
        <w:spacing w:before="120" w:after="120"/>
        <w:jc w:val="both"/>
        <w:rPr>
          <w:rFonts w:ascii="Arial" w:eastAsia="Swis721 Lt BT" w:hAnsi="Arial" w:cs="Arial"/>
          <w:b/>
          <w:bCs/>
        </w:rPr>
      </w:pPr>
      <w:r>
        <w:rPr>
          <w:rFonts w:ascii="Arial" w:eastAsia="Swis721 Lt BT" w:hAnsi="Arial" w:cs="Arial"/>
          <w:b/>
          <w:bCs/>
        </w:rPr>
        <w:t>Due to the variety of methods and applications that can be used to achieve the requirements in this bill, all text is represented in black standard text as suggested options available to municipalities.</w:t>
      </w:r>
    </w:p>
    <w:p w14:paraId="55212756" w14:textId="42DFE134" w:rsidR="00714397" w:rsidRPr="00360137" w:rsidRDefault="008F246B" w:rsidP="00360137">
      <w:pPr>
        <w:spacing w:before="360" w:after="200"/>
        <w:jc w:val="both"/>
        <w:rPr>
          <w:rFonts w:ascii="Arial" w:hAnsi="Arial" w:cs="Arial"/>
          <w:b/>
          <w:bCs/>
          <w:u w:val="single"/>
        </w:rPr>
      </w:pPr>
      <w:r w:rsidRPr="00360137">
        <w:rPr>
          <w:rFonts w:ascii="Aptos" w:eastAsia="Swis721 Lt BT" w:hAnsi="Aptos" w:cs="Swis721 Lt BT"/>
          <w:b/>
          <w:bCs/>
          <w:noProof/>
        </w:rPr>
        <mc:AlternateContent>
          <mc:Choice Requires="wps">
            <w:drawing>
              <wp:anchor distT="0" distB="0" distL="114300" distR="114300" simplePos="0" relativeHeight="251659264" behindDoc="0" locked="0" layoutInCell="1" allowOverlap="1" wp14:anchorId="77FE9761" wp14:editId="7D025E5E">
                <wp:simplePos x="0" y="0"/>
                <wp:positionH relativeFrom="column">
                  <wp:posOffset>0</wp:posOffset>
                </wp:positionH>
                <wp:positionV relativeFrom="paragraph">
                  <wp:posOffset>-635</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9AB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" strokecolor="black [3200]" strokeweight=".5pt">
                <v:stroke joinstyle="miter"/>
              </v:line>
            </w:pict>
          </mc:Fallback>
        </mc:AlternateContent>
      </w:r>
      <w:r w:rsidR="00714397" w:rsidRPr="00360137">
        <w:rPr>
          <w:b/>
          <w:bCs/>
        </w:rPr>
        <w:t>GUIDANCE DOCUMENT</w:t>
      </w:r>
      <w:r w:rsidR="00CA1C14" w:rsidRPr="00360137">
        <w:rPr>
          <w:b/>
          <w:bCs/>
        </w:rPr>
        <w:t>/TEMPLATE</w:t>
      </w:r>
    </w:p>
    <w:p w14:paraId="59D1D775" w14:textId="063A5837" w:rsidR="005C03E0" w:rsidRPr="003633CC" w:rsidRDefault="00C63D19" w:rsidP="00CA1C14">
      <w:pPr>
        <w:spacing w:before="200" w:after="200"/>
        <w:jc w:val="both"/>
        <w:rPr>
          <w:rFonts w:ascii="Aptos" w:hAnsi="Aptos" w:cs="Arial"/>
        </w:rPr>
      </w:pPr>
      <w:r w:rsidRPr="003633CC">
        <w:rPr>
          <w:rFonts w:ascii="Aptos" w:hAnsi="Aptos" w:cs="Arial"/>
        </w:rPr>
        <w:t xml:space="preserve">RIGL </w:t>
      </w:r>
      <w:r w:rsidRPr="003633CC">
        <w:rPr>
          <w:rFonts w:ascii="Aptos" w:hAnsi="Aptos" w:cs="Arial"/>
          <w:noProof/>
        </w:rPr>
        <w:t>§</w:t>
      </w:r>
      <w:r w:rsidRPr="003633CC">
        <w:rPr>
          <w:rFonts w:ascii="Aptos" w:hAnsi="Aptos" w:cs="Arial"/>
        </w:rPr>
        <w:t xml:space="preserve"> 45-24-33 of the Zoning Enabling Act was amended to require a zoning ordinance to address</w:t>
      </w:r>
      <w:r w:rsidR="005C03E0" w:rsidRPr="003633CC">
        <w:rPr>
          <w:rFonts w:ascii="Aptos" w:hAnsi="Aptos" w:cs="Arial"/>
        </w:rPr>
        <w:t>,</w:t>
      </w:r>
      <w:r w:rsidRPr="003633CC">
        <w:rPr>
          <w:rFonts w:ascii="Aptos" w:hAnsi="Aptos" w:cs="Arial"/>
        </w:rPr>
        <w:t xml:space="preserve"> </w:t>
      </w:r>
      <w:r w:rsidR="005C03E0" w:rsidRPr="003633CC">
        <w:rPr>
          <w:rFonts w:ascii="Aptos" w:hAnsi="Aptos" w:cs="Arial"/>
        </w:rPr>
        <w:t xml:space="preserve">through reasonable and objective standards and criteria, providing for residential </w:t>
      </w:r>
      <w:r w:rsidR="00763E62" w:rsidRPr="003633CC">
        <w:rPr>
          <w:rFonts w:ascii="Aptos" w:hAnsi="Aptos" w:cs="Arial"/>
        </w:rPr>
        <w:t>development</w:t>
      </w:r>
      <w:r w:rsidRPr="003633CC">
        <w:rPr>
          <w:rFonts w:ascii="Aptos" w:hAnsi="Aptos" w:cs="Arial"/>
        </w:rPr>
        <w:t xml:space="preserve">, </w:t>
      </w:r>
      <w:r w:rsidR="005C03E0" w:rsidRPr="003633CC">
        <w:rPr>
          <w:rFonts w:ascii="Aptos" w:hAnsi="Aptos" w:cs="Arial"/>
        </w:rPr>
        <w:t xml:space="preserve">in all or some of the areas encompassing commercial districts. </w:t>
      </w:r>
    </w:p>
    <w:p w14:paraId="27B0C1B2" w14:textId="0959CCB4" w:rsidR="00D516F5" w:rsidRPr="003633CC" w:rsidRDefault="00D516F5" w:rsidP="00CA1C14">
      <w:pPr>
        <w:spacing w:before="200" w:after="200"/>
        <w:jc w:val="both"/>
        <w:rPr>
          <w:rFonts w:ascii="Aptos" w:hAnsi="Aptos" w:cs="Arial"/>
        </w:rPr>
      </w:pPr>
      <w:r w:rsidRPr="003633CC">
        <w:rPr>
          <w:rFonts w:ascii="Aptos" w:hAnsi="Aptos" w:cs="Arial"/>
        </w:rPr>
        <w:t xml:space="preserve">Given the multitude of ways municipalities can employ objective standards and criteria, there is no one set way that will work for every community, particularly since some communities may have </w:t>
      </w:r>
      <w:r w:rsidR="005C03E0" w:rsidRPr="003633CC">
        <w:rPr>
          <w:rFonts w:ascii="Aptos" w:hAnsi="Aptos" w:cs="Arial"/>
        </w:rPr>
        <w:t>ordinance provisions</w:t>
      </w:r>
      <w:r w:rsidRPr="003633CC">
        <w:rPr>
          <w:rFonts w:ascii="Aptos" w:hAnsi="Aptos" w:cs="Arial"/>
        </w:rPr>
        <w:t xml:space="preserve"> in place that </w:t>
      </w:r>
      <w:r w:rsidR="005C03E0" w:rsidRPr="003633CC">
        <w:rPr>
          <w:rFonts w:ascii="Aptos" w:hAnsi="Aptos" w:cs="Arial"/>
        </w:rPr>
        <w:t xml:space="preserve">already </w:t>
      </w:r>
      <w:r w:rsidR="00975B56" w:rsidRPr="003633CC">
        <w:rPr>
          <w:rFonts w:ascii="Aptos" w:hAnsi="Aptos" w:cs="Arial"/>
        </w:rPr>
        <w:t>comply</w:t>
      </w:r>
      <w:r w:rsidR="005C03E0" w:rsidRPr="003633CC">
        <w:rPr>
          <w:rFonts w:ascii="Aptos" w:hAnsi="Aptos" w:cs="Arial"/>
        </w:rPr>
        <w:t xml:space="preserve"> </w:t>
      </w:r>
      <w:r w:rsidRPr="003633CC">
        <w:rPr>
          <w:rFonts w:ascii="Aptos" w:hAnsi="Aptos" w:cs="Arial"/>
        </w:rPr>
        <w:t xml:space="preserve">with </w:t>
      </w:r>
      <w:r w:rsidR="005C03E0" w:rsidRPr="003633CC">
        <w:rPr>
          <w:rFonts w:ascii="Aptos" w:hAnsi="Aptos" w:cs="Arial"/>
        </w:rPr>
        <w:t xml:space="preserve">the </w:t>
      </w:r>
      <w:r w:rsidRPr="003633CC">
        <w:rPr>
          <w:rFonts w:ascii="Aptos" w:hAnsi="Aptos" w:cs="Arial"/>
        </w:rPr>
        <w:t xml:space="preserve">requirements of this </w:t>
      </w:r>
      <w:r w:rsidR="005C03E0" w:rsidRPr="003633CC">
        <w:rPr>
          <w:rFonts w:ascii="Aptos" w:hAnsi="Aptos" w:cs="Arial"/>
        </w:rPr>
        <w:t>legislation</w:t>
      </w:r>
      <w:r w:rsidRPr="003633CC">
        <w:rPr>
          <w:rFonts w:ascii="Aptos" w:hAnsi="Aptos" w:cs="Arial"/>
        </w:rPr>
        <w:t xml:space="preserve">. </w:t>
      </w:r>
    </w:p>
    <w:p w14:paraId="4C324FA3" w14:textId="5697A82B" w:rsidR="00D516F5" w:rsidRPr="003633CC" w:rsidRDefault="00D516F5" w:rsidP="00CA1C14">
      <w:pPr>
        <w:spacing w:before="200" w:after="200"/>
        <w:jc w:val="both"/>
        <w:rPr>
          <w:rFonts w:ascii="Aptos" w:hAnsi="Aptos" w:cs="Arial"/>
        </w:rPr>
      </w:pPr>
      <w:r w:rsidRPr="003633CC">
        <w:rPr>
          <w:rFonts w:ascii="Aptos" w:hAnsi="Aptos" w:cs="Arial"/>
        </w:rPr>
        <w:t>Municipalities should first determine if they already have mixed-use or village designated zoning districts where residential units are allowed to be interspersed with commercial uses. If so, further review is needed to determine if the ordinance provides objective standards and criteria</w:t>
      </w:r>
      <w:r w:rsidR="005C03E0" w:rsidRPr="003633CC">
        <w:rPr>
          <w:rFonts w:ascii="Aptos" w:hAnsi="Aptos" w:cs="Arial"/>
        </w:rPr>
        <w:t xml:space="preserve"> for such commercial uses</w:t>
      </w:r>
      <w:r w:rsidRPr="003633CC">
        <w:rPr>
          <w:rFonts w:ascii="Aptos" w:hAnsi="Aptos" w:cs="Arial"/>
        </w:rPr>
        <w:t>.</w:t>
      </w:r>
      <w:r w:rsidR="00763E62" w:rsidRPr="003633CC">
        <w:rPr>
          <w:rFonts w:ascii="Aptos" w:hAnsi="Aptos" w:cs="Arial"/>
        </w:rPr>
        <w:t xml:space="preserve"> </w:t>
      </w:r>
      <w:proofErr w:type="gramStart"/>
      <w:r w:rsidR="00763E62" w:rsidRPr="003633CC">
        <w:rPr>
          <w:rFonts w:ascii="Aptos" w:hAnsi="Aptos" w:cs="Arial"/>
        </w:rPr>
        <w:t>In order for</w:t>
      </w:r>
      <w:proofErr w:type="gramEnd"/>
      <w:r w:rsidR="00763E62" w:rsidRPr="003633CC">
        <w:rPr>
          <w:rFonts w:ascii="Aptos" w:hAnsi="Aptos" w:cs="Arial"/>
        </w:rPr>
        <w:t xml:space="preserve"> existing allowances to comply with the requirements, the following must be achieved through objective standards and criteria:</w:t>
      </w:r>
    </w:p>
    <w:p w14:paraId="44CFED03" w14:textId="71B562AE" w:rsidR="00763E62" w:rsidRPr="003633CC" w:rsidRDefault="00763E62" w:rsidP="00CA1C14">
      <w:pPr>
        <w:pStyle w:val="ListParagraph"/>
        <w:numPr>
          <w:ilvl w:val="0"/>
          <w:numId w:val="16"/>
        </w:numPr>
        <w:spacing w:before="200" w:after="200"/>
        <w:jc w:val="both"/>
        <w:rPr>
          <w:rFonts w:ascii="Aptos" w:hAnsi="Aptos" w:cs="Arial"/>
        </w:rPr>
      </w:pPr>
      <w:r w:rsidRPr="003633CC">
        <w:rPr>
          <w:rFonts w:ascii="Aptos" w:hAnsi="Aptos" w:cs="Arial"/>
        </w:rPr>
        <w:t>Standards to ensure that residential uses are allowed and integrated with commercial uses in a mixed use or village development.</w:t>
      </w:r>
    </w:p>
    <w:p w14:paraId="7DA84001" w14:textId="2D73AF22" w:rsidR="00763E62" w:rsidRPr="003633CC" w:rsidRDefault="00763E62" w:rsidP="00CA1C14">
      <w:pPr>
        <w:pStyle w:val="ListParagraph"/>
        <w:numPr>
          <w:ilvl w:val="0"/>
          <w:numId w:val="16"/>
        </w:numPr>
        <w:spacing w:before="200" w:after="200"/>
        <w:jc w:val="both"/>
        <w:rPr>
          <w:rFonts w:ascii="Aptos" w:hAnsi="Aptos" w:cs="Arial"/>
        </w:rPr>
      </w:pPr>
      <w:r w:rsidRPr="003633CC">
        <w:rPr>
          <w:rFonts w:ascii="Aptos" w:hAnsi="Aptos" w:cs="Arial"/>
        </w:rPr>
        <w:t>Contain provisions that allow residential units above commercial uses on the ground floor or first floor.</w:t>
      </w:r>
    </w:p>
    <w:p w14:paraId="3F4DEB5C" w14:textId="162BB6EF" w:rsidR="00763E62" w:rsidRPr="003633CC" w:rsidRDefault="00763E62" w:rsidP="00CA1C14">
      <w:pPr>
        <w:pStyle w:val="ListParagraph"/>
        <w:numPr>
          <w:ilvl w:val="0"/>
          <w:numId w:val="16"/>
        </w:numPr>
        <w:spacing w:before="200" w:after="200"/>
        <w:jc w:val="both"/>
        <w:rPr>
          <w:rFonts w:ascii="Aptos" w:hAnsi="Aptos" w:cs="Arial"/>
        </w:rPr>
      </w:pPr>
      <w:r w:rsidRPr="003633CC">
        <w:rPr>
          <w:rFonts w:ascii="Aptos" w:hAnsi="Aptos" w:cs="Arial"/>
        </w:rPr>
        <w:t>Provisions to permit medium to high density residential development in commercial zones allowing residential use.</w:t>
      </w:r>
    </w:p>
    <w:p w14:paraId="2AB1EB19" w14:textId="3C21D58A" w:rsidR="00763E62" w:rsidRPr="003633CC" w:rsidRDefault="00763E62" w:rsidP="00CA1C14">
      <w:pPr>
        <w:pStyle w:val="ListParagraph"/>
        <w:numPr>
          <w:ilvl w:val="0"/>
          <w:numId w:val="16"/>
        </w:numPr>
        <w:spacing w:before="200" w:after="200"/>
        <w:jc w:val="both"/>
        <w:rPr>
          <w:rFonts w:ascii="Aptos" w:hAnsi="Aptos" w:cs="Arial"/>
        </w:rPr>
      </w:pPr>
      <w:r w:rsidRPr="003633CC">
        <w:rPr>
          <w:rFonts w:ascii="Aptos" w:hAnsi="Aptos" w:cs="Arial"/>
        </w:rPr>
        <w:t>Flexible and reasonable dimensional standards that promote and allow for the mixed use or village development.</w:t>
      </w:r>
    </w:p>
    <w:p w14:paraId="0A38E148" w14:textId="158172B8" w:rsidR="00763E62" w:rsidRPr="003633CC" w:rsidRDefault="00763E62" w:rsidP="00CA1C14">
      <w:pPr>
        <w:pStyle w:val="ListParagraph"/>
        <w:numPr>
          <w:ilvl w:val="0"/>
          <w:numId w:val="16"/>
        </w:numPr>
        <w:spacing w:before="200" w:after="200"/>
        <w:jc w:val="both"/>
        <w:rPr>
          <w:rFonts w:ascii="Aptos" w:hAnsi="Aptos" w:cs="Arial"/>
        </w:rPr>
      </w:pPr>
      <w:r w:rsidRPr="003633CC">
        <w:rPr>
          <w:rFonts w:ascii="Aptos" w:hAnsi="Aptos" w:cs="Arial"/>
        </w:rPr>
        <w:t xml:space="preserve">Those municipalities with a population </w:t>
      </w:r>
      <w:proofErr w:type="gramStart"/>
      <w:r w:rsidRPr="003633CC">
        <w:rPr>
          <w:rFonts w:ascii="Aptos" w:hAnsi="Aptos" w:cs="Arial"/>
        </w:rPr>
        <w:t>in excess of</w:t>
      </w:r>
      <w:proofErr w:type="gramEnd"/>
      <w:r w:rsidRPr="003633CC">
        <w:rPr>
          <w:rFonts w:ascii="Aptos" w:hAnsi="Aptos" w:cs="Arial"/>
        </w:rPr>
        <w:t xml:space="preserve"> forty thousand (40,000) shall provide for residential development as required above in at least thirty percent (30%) of the area in the commercial zoning districts.</w:t>
      </w:r>
    </w:p>
    <w:p w14:paraId="1813D507" w14:textId="321B85FF" w:rsidR="005C03E0" w:rsidRPr="003633CC" w:rsidRDefault="00D516F5" w:rsidP="00CA1C14">
      <w:pPr>
        <w:spacing w:before="200" w:after="200"/>
        <w:jc w:val="both"/>
        <w:rPr>
          <w:rFonts w:ascii="Aptos" w:hAnsi="Aptos" w:cs="Arial"/>
        </w:rPr>
      </w:pPr>
      <w:r w:rsidRPr="003633CC">
        <w:rPr>
          <w:rFonts w:ascii="Aptos" w:hAnsi="Aptos" w:cs="Arial"/>
        </w:rPr>
        <w:t xml:space="preserve">If a municipality does not have existing ordinance language </w:t>
      </w:r>
      <w:r w:rsidR="00763E62" w:rsidRPr="003633CC">
        <w:rPr>
          <w:rFonts w:ascii="Aptos" w:hAnsi="Aptos" w:cs="Arial"/>
        </w:rPr>
        <w:t>that achieves the above requirements</w:t>
      </w:r>
      <w:r w:rsidRPr="003633CC">
        <w:rPr>
          <w:rFonts w:ascii="Aptos" w:hAnsi="Aptos" w:cs="Arial"/>
        </w:rPr>
        <w:t xml:space="preserve">, the municipality should look </w:t>
      </w:r>
      <w:r w:rsidR="005C03E0" w:rsidRPr="003633CC">
        <w:rPr>
          <w:rFonts w:ascii="Aptos" w:hAnsi="Aptos" w:cs="Arial"/>
        </w:rPr>
        <w:t>to</w:t>
      </w:r>
      <w:r w:rsidRPr="003633CC">
        <w:rPr>
          <w:rFonts w:ascii="Aptos" w:hAnsi="Aptos" w:cs="Arial"/>
        </w:rPr>
        <w:t xml:space="preserve"> the Community’s Comprehensive Plan to determine if any transitional zones</w:t>
      </w:r>
      <w:r w:rsidR="005C03E0" w:rsidRPr="003633CC">
        <w:rPr>
          <w:rFonts w:ascii="Aptos" w:hAnsi="Aptos" w:cs="Arial"/>
        </w:rPr>
        <w:t xml:space="preserve"> or</w:t>
      </w:r>
      <w:r w:rsidRPr="003633CC">
        <w:rPr>
          <w:rFonts w:ascii="Aptos" w:hAnsi="Aptos" w:cs="Arial"/>
        </w:rPr>
        <w:t xml:space="preserve"> village areas have been </w:t>
      </w:r>
      <w:r w:rsidR="003640EF" w:rsidRPr="003633CC">
        <w:rPr>
          <w:rFonts w:ascii="Aptos" w:hAnsi="Aptos" w:cs="Arial"/>
        </w:rPr>
        <w:t>noted for potential future mixed-use development</w:t>
      </w:r>
      <w:r w:rsidR="00763E62" w:rsidRPr="003633CC">
        <w:rPr>
          <w:rFonts w:ascii="Aptos" w:hAnsi="Aptos" w:cs="Arial"/>
        </w:rPr>
        <w:t xml:space="preserve"> that could be assessed for inclusion</w:t>
      </w:r>
      <w:r w:rsidR="003640EF" w:rsidRPr="003633CC">
        <w:rPr>
          <w:rFonts w:ascii="Aptos" w:hAnsi="Aptos" w:cs="Arial"/>
        </w:rPr>
        <w:t xml:space="preserve">. </w:t>
      </w:r>
    </w:p>
    <w:p w14:paraId="6E585346" w14:textId="2D3F0E99" w:rsidR="005C03E0" w:rsidRPr="003633CC" w:rsidRDefault="003640EF" w:rsidP="00CA1C14">
      <w:pPr>
        <w:spacing w:before="200" w:after="200"/>
        <w:jc w:val="both"/>
        <w:rPr>
          <w:rFonts w:ascii="Aptos" w:hAnsi="Aptos" w:cs="Arial"/>
        </w:rPr>
      </w:pPr>
      <w:r w:rsidRPr="003633CC">
        <w:rPr>
          <w:rFonts w:ascii="Aptos" w:hAnsi="Aptos" w:cs="Arial"/>
        </w:rPr>
        <w:t xml:space="preserve">A municipality should consider where these types of mixed-use developments are appropriate in the community and </w:t>
      </w:r>
      <w:r w:rsidR="005C03E0" w:rsidRPr="003633CC">
        <w:rPr>
          <w:rFonts w:ascii="Aptos" w:hAnsi="Aptos" w:cs="Arial"/>
        </w:rPr>
        <w:t xml:space="preserve">consider </w:t>
      </w:r>
      <w:r w:rsidRPr="003633CC">
        <w:rPr>
          <w:rFonts w:ascii="Aptos" w:hAnsi="Aptos" w:cs="Arial"/>
        </w:rPr>
        <w:t>establish</w:t>
      </w:r>
      <w:r w:rsidR="005C03E0" w:rsidRPr="003633CC">
        <w:rPr>
          <w:rFonts w:ascii="Aptos" w:hAnsi="Aptos" w:cs="Arial"/>
        </w:rPr>
        <w:t>ing</w:t>
      </w:r>
      <w:r w:rsidRPr="003633CC">
        <w:rPr>
          <w:rFonts w:ascii="Aptos" w:hAnsi="Aptos" w:cs="Arial"/>
        </w:rPr>
        <w:t xml:space="preserve"> these areas </w:t>
      </w:r>
      <w:r w:rsidR="005C03E0" w:rsidRPr="003633CC">
        <w:rPr>
          <w:rFonts w:ascii="Aptos" w:hAnsi="Aptos" w:cs="Arial"/>
        </w:rPr>
        <w:t>through one (or more) mechanisms identified below</w:t>
      </w:r>
      <w:r w:rsidRPr="003633CC">
        <w:rPr>
          <w:rFonts w:ascii="Aptos" w:hAnsi="Aptos" w:cs="Arial"/>
        </w:rPr>
        <w:t xml:space="preserve">.  Objective standards and criteria should then be established to help the municipality ensure </w:t>
      </w:r>
      <w:r w:rsidR="005C03E0" w:rsidRPr="003633CC">
        <w:rPr>
          <w:rFonts w:ascii="Aptos" w:hAnsi="Aptos" w:cs="Arial"/>
        </w:rPr>
        <w:t>the regulatory tool aligns with</w:t>
      </w:r>
      <w:r w:rsidRPr="003633CC">
        <w:rPr>
          <w:rFonts w:ascii="Aptos" w:hAnsi="Aptos" w:cs="Arial"/>
        </w:rPr>
        <w:t xml:space="preserve"> the </w:t>
      </w:r>
      <w:r w:rsidR="005C03E0" w:rsidRPr="003633CC">
        <w:rPr>
          <w:rFonts w:ascii="Aptos" w:hAnsi="Aptos" w:cs="Arial"/>
        </w:rPr>
        <w:t>goals and objectives</w:t>
      </w:r>
      <w:r w:rsidRPr="003633CC">
        <w:rPr>
          <w:rFonts w:ascii="Aptos" w:hAnsi="Aptos" w:cs="Arial"/>
        </w:rPr>
        <w:t xml:space="preserve"> of the community.</w:t>
      </w:r>
    </w:p>
    <w:p w14:paraId="348B3038" w14:textId="550A0A32" w:rsidR="005C03E0" w:rsidRPr="003633CC" w:rsidRDefault="005C03E0" w:rsidP="00CA1C14">
      <w:pPr>
        <w:spacing w:before="200" w:after="200"/>
        <w:jc w:val="both"/>
        <w:rPr>
          <w:rFonts w:ascii="Aptos" w:hAnsi="Aptos" w:cs="Arial"/>
        </w:rPr>
      </w:pPr>
      <w:r w:rsidRPr="003633CC">
        <w:rPr>
          <w:rFonts w:ascii="Aptos" w:hAnsi="Aptos" w:cs="Arial"/>
        </w:rPr>
        <w:t>Permitting residential development within commercial districts can be achieved through a variety of land use tools</w:t>
      </w:r>
      <w:r w:rsidR="00763E62" w:rsidRPr="003633CC">
        <w:rPr>
          <w:rFonts w:ascii="Aptos" w:hAnsi="Aptos" w:cs="Arial"/>
        </w:rPr>
        <w:t xml:space="preserve"> including, but not limited to:</w:t>
      </w:r>
    </w:p>
    <w:p w14:paraId="62F073F4" w14:textId="77777777" w:rsidR="005C03E0" w:rsidRPr="003633CC" w:rsidRDefault="005C03E0" w:rsidP="00CA1C14">
      <w:pPr>
        <w:pStyle w:val="ListParagraph"/>
        <w:numPr>
          <w:ilvl w:val="0"/>
          <w:numId w:val="15"/>
        </w:numPr>
        <w:spacing w:before="200" w:after="200"/>
        <w:ind w:left="720"/>
        <w:jc w:val="both"/>
        <w:rPr>
          <w:rFonts w:ascii="Aptos" w:hAnsi="Aptos" w:cs="Arial"/>
        </w:rPr>
      </w:pPr>
      <w:r w:rsidRPr="003633CC">
        <w:rPr>
          <w:rFonts w:ascii="Aptos" w:hAnsi="Aptos" w:cs="Arial"/>
        </w:rPr>
        <w:lastRenderedPageBreak/>
        <w:t>Overlay district</w:t>
      </w:r>
    </w:p>
    <w:p w14:paraId="4D752D0C" w14:textId="77777777" w:rsidR="005C03E0" w:rsidRPr="003633CC" w:rsidRDefault="005C03E0" w:rsidP="00CA1C14">
      <w:pPr>
        <w:pStyle w:val="ListParagraph"/>
        <w:numPr>
          <w:ilvl w:val="0"/>
          <w:numId w:val="15"/>
        </w:numPr>
        <w:spacing w:before="200" w:after="200"/>
        <w:ind w:left="720"/>
        <w:jc w:val="both"/>
        <w:rPr>
          <w:rFonts w:ascii="Aptos" w:hAnsi="Aptos" w:cs="Arial"/>
        </w:rPr>
      </w:pPr>
      <w:r w:rsidRPr="003633CC">
        <w:rPr>
          <w:rFonts w:ascii="Aptos" w:hAnsi="Aptos" w:cs="Arial"/>
        </w:rPr>
        <w:t>Planned unit development</w:t>
      </w:r>
    </w:p>
    <w:p w14:paraId="5B9069F8" w14:textId="77777777" w:rsidR="005C03E0" w:rsidRPr="003633CC" w:rsidRDefault="005C03E0" w:rsidP="00CA1C14">
      <w:pPr>
        <w:pStyle w:val="ListParagraph"/>
        <w:numPr>
          <w:ilvl w:val="0"/>
          <w:numId w:val="15"/>
        </w:numPr>
        <w:spacing w:before="200" w:after="200"/>
        <w:ind w:left="720"/>
        <w:jc w:val="both"/>
        <w:rPr>
          <w:rFonts w:ascii="Aptos" w:hAnsi="Aptos" w:cs="Arial"/>
        </w:rPr>
      </w:pPr>
      <w:r w:rsidRPr="003633CC">
        <w:rPr>
          <w:rFonts w:ascii="Aptos" w:hAnsi="Aptos" w:cs="Arial"/>
        </w:rPr>
        <w:t>Floating zone</w:t>
      </w:r>
    </w:p>
    <w:p w14:paraId="12A6B357" w14:textId="77777777" w:rsidR="005C03E0" w:rsidRPr="003633CC" w:rsidRDefault="005C03E0" w:rsidP="00CA1C14">
      <w:pPr>
        <w:pStyle w:val="ListParagraph"/>
        <w:numPr>
          <w:ilvl w:val="0"/>
          <w:numId w:val="15"/>
        </w:numPr>
        <w:spacing w:before="200" w:after="200"/>
        <w:ind w:left="720"/>
        <w:jc w:val="both"/>
        <w:rPr>
          <w:rFonts w:ascii="Aptos" w:hAnsi="Aptos" w:cs="Arial"/>
        </w:rPr>
      </w:pPr>
      <w:r w:rsidRPr="003633CC">
        <w:rPr>
          <w:rFonts w:ascii="Aptos" w:hAnsi="Aptos" w:cs="Arial"/>
        </w:rPr>
        <w:t>By right within a zoning district</w:t>
      </w:r>
    </w:p>
    <w:p w14:paraId="75676943" w14:textId="77777777" w:rsidR="005C03E0" w:rsidRPr="003633CC" w:rsidRDefault="005C03E0" w:rsidP="00CA1C14">
      <w:pPr>
        <w:pStyle w:val="ListParagraph"/>
        <w:numPr>
          <w:ilvl w:val="0"/>
          <w:numId w:val="15"/>
        </w:numPr>
        <w:spacing w:before="200" w:after="200"/>
        <w:ind w:left="720"/>
        <w:jc w:val="both"/>
        <w:rPr>
          <w:rFonts w:ascii="Aptos" w:hAnsi="Aptos" w:cs="Arial"/>
        </w:rPr>
      </w:pPr>
      <w:r w:rsidRPr="003633CC">
        <w:rPr>
          <w:rFonts w:ascii="Aptos" w:hAnsi="Aptos" w:cs="Arial"/>
        </w:rPr>
        <w:t>By special use permit within a zoning district</w:t>
      </w:r>
    </w:p>
    <w:p w14:paraId="2E23330B" w14:textId="77777777" w:rsidR="00975B56" w:rsidRPr="003633CC" w:rsidRDefault="005C03E0" w:rsidP="00CA1C14">
      <w:pPr>
        <w:spacing w:before="200" w:after="200"/>
        <w:jc w:val="both"/>
        <w:rPr>
          <w:rFonts w:ascii="Aptos" w:hAnsi="Aptos" w:cs="Arial"/>
        </w:rPr>
      </w:pPr>
      <w:r w:rsidRPr="003633CC">
        <w:rPr>
          <w:rFonts w:ascii="Aptos" w:hAnsi="Aptos" w:cs="Arial"/>
        </w:rPr>
        <w:t>Because there are a variety of ways to achieve the mandate, examples provided below focus on the regulatory language needed to implement such allowance. The template language may require modification depending on what approach is used and where the municipality wants to permit residential development.</w:t>
      </w:r>
    </w:p>
    <w:p w14:paraId="0C023909" w14:textId="77777777" w:rsidR="00360137" w:rsidRDefault="00975B56" w:rsidP="00CA1C14">
      <w:pPr>
        <w:spacing w:before="200" w:after="200"/>
        <w:jc w:val="both"/>
        <w:rPr>
          <w:rFonts w:ascii="Aptos" w:hAnsi="Aptos" w:cs="Arial"/>
        </w:rPr>
      </w:pPr>
      <w:r w:rsidRPr="003633CC">
        <w:rPr>
          <w:rFonts w:ascii="Aptos" w:hAnsi="Aptos" w:cs="Arial"/>
        </w:rPr>
        <w:t xml:space="preserve">The examples provided below contain text within </w:t>
      </w:r>
      <w:proofErr w:type="gramStart"/>
      <w:r w:rsidRPr="003633CC">
        <w:rPr>
          <w:rFonts w:ascii="Aptos" w:hAnsi="Aptos" w:cs="Arial"/>
        </w:rPr>
        <w:t>[  ]</w:t>
      </w:r>
      <w:proofErr w:type="gramEnd"/>
      <w:r w:rsidRPr="003633CC">
        <w:rPr>
          <w:rFonts w:ascii="Aptos" w:hAnsi="Aptos" w:cs="Arial"/>
        </w:rPr>
        <w:t xml:space="preserve"> indicating municipal discretion in determining the dimensional or other type of standard. </w:t>
      </w:r>
    </w:p>
    <w:p w14:paraId="35FB40E6" w14:textId="3B6E2806" w:rsidR="003640EF" w:rsidRPr="003633CC" w:rsidRDefault="003640EF" w:rsidP="00CA1C14">
      <w:pPr>
        <w:spacing w:before="200" w:after="200"/>
        <w:jc w:val="both"/>
        <w:rPr>
          <w:rFonts w:ascii="Aptos" w:hAnsi="Aptos" w:cs="Arial"/>
        </w:rPr>
      </w:pPr>
      <w:r w:rsidRPr="003633CC">
        <w:rPr>
          <w:rFonts w:ascii="Aptos" w:hAnsi="Aptos" w:cs="Arial"/>
        </w:rPr>
        <w:t xml:space="preserve">The following </w:t>
      </w:r>
      <w:r w:rsidR="005C03E0" w:rsidRPr="003633CC">
        <w:rPr>
          <w:rFonts w:ascii="Aptos" w:hAnsi="Aptos" w:cs="Arial"/>
        </w:rPr>
        <w:t>ordinance language is provided as examples</w:t>
      </w:r>
      <w:r w:rsidRPr="003633CC">
        <w:rPr>
          <w:rFonts w:ascii="Aptos" w:hAnsi="Aptos" w:cs="Arial"/>
        </w:rPr>
        <w:t>.</w:t>
      </w:r>
      <w:r w:rsidR="005C03E0" w:rsidRPr="003633CC">
        <w:rPr>
          <w:rFonts w:ascii="Aptos" w:hAnsi="Aptos" w:cs="Arial"/>
        </w:rPr>
        <w:t xml:space="preserve"> Below are two different possible approaches for ordinance language that could be used in response to the mandate. One example utilizes the context of a village style of development, and the latter example is oriented towards an auto centric commercial strip development style. Municipalities should consider which example, or portions of examples, best fit within the context of existing land use policy.</w:t>
      </w:r>
      <w:r w:rsidRPr="003633CC">
        <w:rPr>
          <w:rFonts w:ascii="Aptos" w:hAnsi="Aptos" w:cs="Arial"/>
        </w:rPr>
        <w:t xml:space="preserve"> </w:t>
      </w:r>
    </w:p>
    <w:p w14:paraId="4BDB2CA9" w14:textId="5E1F95BB" w:rsidR="00EF5EAE" w:rsidRPr="003633CC" w:rsidRDefault="00CA1C14" w:rsidP="00CA1C14">
      <w:pPr>
        <w:spacing w:before="200" w:after="200"/>
        <w:jc w:val="both"/>
        <w:rPr>
          <w:rFonts w:ascii="Aptos" w:hAnsi="Aptos" w:cs="Arial"/>
          <w:b/>
          <w:bCs/>
        </w:rPr>
      </w:pPr>
      <w:r w:rsidRPr="003633CC">
        <w:rPr>
          <w:rFonts w:ascii="Aptos" w:hAnsi="Aptos" w:cs="Arial"/>
          <w:b/>
          <w:bCs/>
        </w:rPr>
        <w:t>EXAMPLE PURPOSE AND DEFINITIONS</w:t>
      </w:r>
    </w:p>
    <w:p w14:paraId="0DE8AB05" w14:textId="77777777" w:rsidR="005C03E0" w:rsidRPr="003633CC" w:rsidRDefault="00EF5EAE" w:rsidP="00CA1C14">
      <w:pPr>
        <w:spacing w:before="200" w:after="200"/>
        <w:jc w:val="both"/>
        <w:rPr>
          <w:rFonts w:ascii="Aptos" w:hAnsi="Aptos" w:cs="Arial"/>
        </w:rPr>
      </w:pPr>
      <w:r w:rsidRPr="003633CC">
        <w:rPr>
          <w:rFonts w:ascii="Aptos" w:hAnsi="Aptos" w:cs="Arial"/>
        </w:rPr>
        <w:t>Purpose</w:t>
      </w:r>
      <w:r w:rsidR="00104A50" w:rsidRPr="003633CC">
        <w:rPr>
          <w:rFonts w:ascii="Aptos" w:hAnsi="Aptos" w:cs="Arial"/>
        </w:rPr>
        <w:t xml:space="preserve">. </w:t>
      </w:r>
    </w:p>
    <w:p w14:paraId="55E2FC4C" w14:textId="0440AE47" w:rsidR="00EF5EAE" w:rsidRPr="003633CC" w:rsidRDefault="00EF5EAE" w:rsidP="00CA1C14">
      <w:pPr>
        <w:pStyle w:val="ListParagraph"/>
        <w:numPr>
          <w:ilvl w:val="3"/>
          <w:numId w:val="13"/>
        </w:numPr>
        <w:spacing w:before="200" w:after="200"/>
        <w:ind w:left="900" w:hanging="468"/>
        <w:jc w:val="both"/>
        <w:rPr>
          <w:rFonts w:ascii="Aptos" w:hAnsi="Aptos" w:cs="Arial"/>
        </w:rPr>
      </w:pPr>
      <w:r w:rsidRPr="003633CC">
        <w:rPr>
          <w:rFonts w:ascii="Aptos" w:hAnsi="Aptos" w:cs="Arial"/>
        </w:rPr>
        <w:t xml:space="preserve">This Section establishes objective standards and criteria to provide for residential development in </w:t>
      </w:r>
      <w:r w:rsidR="005C03E0" w:rsidRPr="003633CC">
        <w:rPr>
          <w:rFonts w:ascii="Aptos" w:hAnsi="Aptos" w:cs="Arial"/>
        </w:rPr>
        <w:t>designated</w:t>
      </w:r>
      <w:r w:rsidRPr="003633CC">
        <w:rPr>
          <w:rFonts w:ascii="Aptos" w:hAnsi="Aptos" w:cs="Arial"/>
        </w:rPr>
        <w:t xml:space="preserve"> </w:t>
      </w:r>
      <w:r w:rsidR="005C03E0" w:rsidRPr="003633CC">
        <w:rPr>
          <w:rFonts w:ascii="Aptos" w:hAnsi="Aptos" w:cs="Arial"/>
        </w:rPr>
        <w:t>[</w:t>
      </w:r>
      <w:r w:rsidR="00CA1C14" w:rsidRPr="003633CC">
        <w:rPr>
          <w:rFonts w:ascii="Aptos" w:hAnsi="Aptos" w:cs="Arial"/>
        </w:rPr>
        <w:t xml:space="preserve">INSERT </w:t>
      </w:r>
      <w:r w:rsidR="005C03E0" w:rsidRPr="003633CC">
        <w:rPr>
          <w:rFonts w:ascii="Aptos" w:hAnsi="Aptos" w:cs="Arial"/>
        </w:rPr>
        <w:t>AREAS OR ZONES]</w:t>
      </w:r>
      <w:r w:rsidRPr="003633CC">
        <w:rPr>
          <w:rFonts w:ascii="Aptos" w:hAnsi="Aptos" w:cs="Arial"/>
        </w:rPr>
        <w:t>, including:</w:t>
      </w:r>
    </w:p>
    <w:p w14:paraId="660CFAC4" w14:textId="77777777" w:rsidR="00EF5EAE" w:rsidRPr="003633CC" w:rsidRDefault="00EF5EAE" w:rsidP="00CA1C14">
      <w:pPr>
        <w:pStyle w:val="ListParagraph"/>
        <w:numPr>
          <w:ilvl w:val="4"/>
          <w:numId w:val="11"/>
        </w:numPr>
        <w:spacing w:before="200" w:after="200"/>
        <w:ind w:left="1800" w:right="360"/>
        <w:jc w:val="both"/>
        <w:rPr>
          <w:rFonts w:ascii="Aptos" w:hAnsi="Aptos" w:cs="Arial"/>
        </w:rPr>
      </w:pPr>
      <w:r w:rsidRPr="003633CC">
        <w:rPr>
          <w:rFonts w:ascii="Aptos" w:hAnsi="Aptos" w:cs="Arial"/>
        </w:rPr>
        <w:t xml:space="preserve">Integration of residential uses with commercial </w:t>
      </w:r>
      <w:proofErr w:type="gramStart"/>
      <w:r w:rsidRPr="003633CC">
        <w:rPr>
          <w:rFonts w:ascii="Aptos" w:hAnsi="Aptos" w:cs="Arial"/>
        </w:rPr>
        <w:t>uses;</w:t>
      </w:r>
      <w:proofErr w:type="gramEnd"/>
    </w:p>
    <w:p w14:paraId="24BF8DE4" w14:textId="77777777" w:rsidR="00EF5EAE" w:rsidRPr="003633CC" w:rsidRDefault="00EF5EAE" w:rsidP="00CA1C14">
      <w:pPr>
        <w:pStyle w:val="ListParagraph"/>
        <w:numPr>
          <w:ilvl w:val="4"/>
          <w:numId w:val="11"/>
        </w:numPr>
        <w:spacing w:before="200" w:after="200"/>
        <w:ind w:left="1800" w:right="360"/>
        <w:jc w:val="both"/>
        <w:rPr>
          <w:rFonts w:ascii="Aptos" w:hAnsi="Aptos" w:cs="Arial"/>
        </w:rPr>
      </w:pPr>
      <w:r w:rsidRPr="003633CC">
        <w:rPr>
          <w:rFonts w:ascii="Aptos" w:hAnsi="Aptos" w:cs="Arial"/>
        </w:rPr>
        <w:t xml:space="preserve">Allowing residential units above ground/first-floor commercial </w:t>
      </w:r>
      <w:proofErr w:type="gramStart"/>
      <w:r w:rsidRPr="003633CC">
        <w:rPr>
          <w:rFonts w:ascii="Aptos" w:hAnsi="Aptos" w:cs="Arial"/>
        </w:rPr>
        <w:t>uses;</w:t>
      </w:r>
      <w:proofErr w:type="gramEnd"/>
    </w:p>
    <w:p w14:paraId="2BD91D53" w14:textId="77777777" w:rsidR="00EF5EAE" w:rsidRPr="003633CC" w:rsidRDefault="00EF5EAE" w:rsidP="00CA1C14">
      <w:pPr>
        <w:pStyle w:val="ListParagraph"/>
        <w:numPr>
          <w:ilvl w:val="4"/>
          <w:numId w:val="11"/>
        </w:numPr>
        <w:spacing w:before="200" w:after="200"/>
        <w:ind w:left="1800" w:right="360"/>
        <w:jc w:val="both"/>
        <w:rPr>
          <w:rFonts w:ascii="Aptos" w:hAnsi="Aptos" w:cs="Arial"/>
        </w:rPr>
      </w:pPr>
      <w:r w:rsidRPr="003633CC">
        <w:rPr>
          <w:rFonts w:ascii="Aptos" w:hAnsi="Aptos" w:cs="Arial"/>
        </w:rPr>
        <w:t>Permitting medium- to high-density residential development where residential is allowed; and</w:t>
      </w:r>
    </w:p>
    <w:p w14:paraId="5866EF9C" w14:textId="48EC9304" w:rsidR="00EF5EAE" w:rsidRPr="003633CC" w:rsidRDefault="00EF5EAE" w:rsidP="00CA1C14">
      <w:pPr>
        <w:pStyle w:val="ListParagraph"/>
        <w:numPr>
          <w:ilvl w:val="4"/>
          <w:numId w:val="11"/>
        </w:numPr>
        <w:spacing w:before="200" w:after="200"/>
        <w:ind w:left="1800" w:right="360"/>
        <w:jc w:val="both"/>
        <w:rPr>
          <w:rFonts w:ascii="Aptos" w:hAnsi="Aptos" w:cs="Arial"/>
        </w:rPr>
      </w:pPr>
      <w:r w:rsidRPr="003633CC">
        <w:rPr>
          <w:rFonts w:ascii="Aptos" w:hAnsi="Aptos" w:cs="Arial"/>
        </w:rPr>
        <w:t>Flexible and reasonable dimensional standards promoting mixed-use or village development.</w:t>
      </w:r>
    </w:p>
    <w:p w14:paraId="3B3D0A80" w14:textId="77777777" w:rsidR="005C03E0" w:rsidRPr="003633CC" w:rsidRDefault="005C03E0" w:rsidP="00CA1C14">
      <w:pPr>
        <w:pStyle w:val="ListParagraph"/>
        <w:numPr>
          <w:ilvl w:val="0"/>
          <w:numId w:val="14"/>
        </w:numPr>
        <w:spacing w:before="200" w:after="200"/>
        <w:jc w:val="both"/>
        <w:rPr>
          <w:rFonts w:ascii="Aptos" w:hAnsi="Aptos" w:cs="Arial"/>
          <w:vanish/>
        </w:rPr>
      </w:pPr>
    </w:p>
    <w:p w14:paraId="3EA64F83" w14:textId="77777777" w:rsidR="005C03E0" w:rsidRPr="003633CC" w:rsidRDefault="005C03E0" w:rsidP="00CA1C14">
      <w:pPr>
        <w:pStyle w:val="ListParagraph"/>
        <w:numPr>
          <w:ilvl w:val="1"/>
          <w:numId w:val="14"/>
        </w:numPr>
        <w:spacing w:before="200" w:after="200"/>
        <w:jc w:val="both"/>
        <w:rPr>
          <w:rFonts w:ascii="Aptos" w:hAnsi="Aptos" w:cs="Arial"/>
          <w:vanish/>
        </w:rPr>
      </w:pPr>
    </w:p>
    <w:p w14:paraId="052844C3" w14:textId="256F0642" w:rsidR="00EF5EAE" w:rsidRPr="003633CC" w:rsidRDefault="00EF5EAE" w:rsidP="00CA1C14">
      <w:pPr>
        <w:spacing w:before="200" w:after="200"/>
        <w:ind w:left="360" w:hanging="450"/>
        <w:jc w:val="both"/>
        <w:rPr>
          <w:rFonts w:ascii="Aptos" w:hAnsi="Aptos" w:cs="Arial"/>
        </w:rPr>
      </w:pPr>
      <w:r w:rsidRPr="003633CC">
        <w:rPr>
          <w:rFonts w:ascii="Aptos" w:hAnsi="Aptos" w:cs="Arial"/>
        </w:rPr>
        <w:t>Definitions</w:t>
      </w:r>
      <w:r w:rsidR="00D253F6" w:rsidRPr="003633CC">
        <w:rPr>
          <w:rFonts w:ascii="Aptos" w:hAnsi="Aptos" w:cs="Arial"/>
        </w:rPr>
        <w:t xml:space="preserve">. </w:t>
      </w:r>
      <w:r w:rsidRPr="003633CC">
        <w:rPr>
          <w:rFonts w:ascii="Aptos" w:hAnsi="Aptos" w:cs="Arial"/>
        </w:rPr>
        <w:t>For purposes of this Section, the following terms apply:</w:t>
      </w:r>
    </w:p>
    <w:p w14:paraId="74E290E1" w14:textId="620D493B" w:rsidR="00EF5EAE" w:rsidRPr="003633CC" w:rsidRDefault="00EF5EAE" w:rsidP="00CA1C14">
      <w:pPr>
        <w:spacing w:before="200" w:after="200"/>
        <w:ind w:left="360"/>
        <w:jc w:val="both"/>
        <w:rPr>
          <w:rFonts w:ascii="Aptos" w:hAnsi="Aptos" w:cs="Arial"/>
        </w:rPr>
      </w:pPr>
      <w:r w:rsidRPr="003633CC">
        <w:rPr>
          <w:rFonts w:ascii="Aptos" w:hAnsi="Aptos" w:cs="Arial"/>
          <w:i/>
          <w:iCs/>
        </w:rPr>
        <w:t>Active use</w:t>
      </w:r>
      <w:r w:rsidR="005C03E0" w:rsidRPr="003633CC">
        <w:rPr>
          <w:rFonts w:ascii="Aptos" w:hAnsi="Aptos" w:cs="Arial"/>
          <w:i/>
          <w:iCs/>
        </w:rPr>
        <w:t>.</w:t>
      </w:r>
      <w:r w:rsidRPr="003633CC">
        <w:rPr>
          <w:rFonts w:ascii="Aptos" w:hAnsi="Aptos" w:cs="Arial"/>
        </w:rPr>
        <w:t xml:space="preserve"> </w:t>
      </w:r>
      <w:r w:rsidR="005C03E0" w:rsidRPr="003633CC">
        <w:rPr>
          <w:rFonts w:ascii="Aptos" w:hAnsi="Aptos" w:cs="Arial"/>
        </w:rPr>
        <w:t>R</w:t>
      </w:r>
      <w:r w:rsidRPr="003633CC">
        <w:rPr>
          <w:rFonts w:ascii="Aptos" w:hAnsi="Aptos" w:cs="Arial"/>
        </w:rPr>
        <w:t>etail, restaurant, personal service, office open to the public, civic/community space, or building lobby serving a mixed-use building. Active use does not include storage, loading, blank walls, utility rooms, or structured parking frontage.</w:t>
      </w:r>
    </w:p>
    <w:p w14:paraId="32DCEFBD" w14:textId="4DFB6CAA" w:rsidR="00EF5EAE" w:rsidRPr="003633CC" w:rsidRDefault="00EF5EAE" w:rsidP="00CA1C14">
      <w:pPr>
        <w:spacing w:before="200" w:after="200"/>
        <w:ind w:left="360"/>
        <w:jc w:val="both"/>
        <w:rPr>
          <w:rFonts w:ascii="Aptos" w:hAnsi="Aptos" w:cs="Arial"/>
        </w:rPr>
      </w:pPr>
      <w:r w:rsidRPr="003633CC">
        <w:rPr>
          <w:rFonts w:ascii="Aptos" w:hAnsi="Aptos" w:cs="Arial"/>
          <w:i/>
          <w:iCs/>
        </w:rPr>
        <w:t>Arterial Corridor</w:t>
      </w:r>
      <w:r w:rsidR="005C03E0" w:rsidRPr="003633CC">
        <w:rPr>
          <w:rFonts w:ascii="Aptos" w:hAnsi="Aptos" w:cs="Arial"/>
        </w:rPr>
        <w:t>.</w:t>
      </w:r>
      <w:r w:rsidRPr="003633CC">
        <w:rPr>
          <w:rFonts w:ascii="Aptos" w:hAnsi="Aptos" w:cs="Arial"/>
        </w:rPr>
        <w:t xml:space="preserve"> </w:t>
      </w:r>
      <w:r w:rsidR="005C03E0" w:rsidRPr="003633CC">
        <w:rPr>
          <w:rFonts w:ascii="Aptos" w:hAnsi="Aptos" w:cs="Arial"/>
        </w:rPr>
        <w:t>A</w:t>
      </w:r>
      <w:r w:rsidRPr="003633CC">
        <w:rPr>
          <w:rFonts w:ascii="Aptos" w:hAnsi="Aptos" w:cs="Arial"/>
        </w:rPr>
        <w:t xml:space="preserve"> street segment identified by the municipality as an arterial or principal commercial corridor on the Official Map or Transportation Plan, or as listed in § [__].</w:t>
      </w:r>
    </w:p>
    <w:p w14:paraId="60E603FE" w14:textId="370955EA" w:rsidR="00EF5EAE" w:rsidRPr="003633CC" w:rsidRDefault="00EF5EAE" w:rsidP="00CA1C14">
      <w:pPr>
        <w:spacing w:before="200" w:after="200"/>
        <w:ind w:left="360"/>
        <w:jc w:val="both"/>
        <w:rPr>
          <w:rFonts w:ascii="Aptos" w:hAnsi="Aptos" w:cs="Arial"/>
        </w:rPr>
      </w:pPr>
      <w:r w:rsidRPr="003633CC">
        <w:rPr>
          <w:rFonts w:ascii="Aptos" w:hAnsi="Aptos" w:cs="Arial"/>
          <w:i/>
          <w:iCs/>
        </w:rPr>
        <w:lastRenderedPageBreak/>
        <w:t>Blank wall</w:t>
      </w:r>
      <w:r w:rsidR="005C03E0" w:rsidRPr="003633CC">
        <w:rPr>
          <w:rFonts w:ascii="Aptos" w:hAnsi="Aptos" w:cs="Arial"/>
        </w:rPr>
        <w:t>.</w:t>
      </w:r>
      <w:r w:rsidRPr="003633CC">
        <w:rPr>
          <w:rFonts w:ascii="Aptos" w:hAnsi="Aptos" w:cs="Arial"/>
        </w:rPr>
        <w:t xml:space="preserve"> </w:t>
      </w:r>
      <w:r w:rsidR="005C03E0" w:rsidRPr="003633CC">
        <w:rPr>
          <w:rFonts w:ascii="Aptos" w:hAnsi="Aptos" w:cs="Arial"/>
        </w:rPr>
        <w:t>A</w:t>
      </w:r>
      <w:r w:rsidRPr="003633CC">
        <w:rPr>
          <w:rFonts w:ascii="Aptos" w:hAnsi="Aptos" w:cs="Arial"/>
        </w:rPr>
        <w:t xml:space="preserve"> ground-floor wall segment with no windows, doors, or display openings. Mechanical louvers and service doors do not count as transparency.</w:t>
      </w:r>
    </w:p>
    <w:p w14:paraId="73341B69" w14:textId="6409E683" w:rsidR="00EF5EAE" w:rsidRPr="003633CC" w:rsidRDefault="00763E62" w:rsidP="00CA1C14">
      <w:pPr>
        <w:spacing w:before="200" w:after="200"/>
        <w:ind w:left="360"/>
        <w:jc w:val="both"/>
        <w:rPr>
          <w:rFonts w:ascii="Aptos" w:hAnsi="Aptos" w:cs="Arial"/>
        </w:rPr>
      </w:pPr>
      <w:r w:rsidRPr="003633CC">
        <w:rPr>
          <w:rFonts w:ascii="Aptos" w:hAnsi="Aptos" w:cs="Arial"/>
          <w:i/>
          <w:iCs/>
        </w:rPr>
        <w:t>P</w:t>
      </w:r>
      <w:r w:rsidR="00EF5EAE" w:rsidRPr="003633CC">
        <w:rPr>
          <w:rFonts w:ascii="Aptos" w:hAnsi="Aptos" w:cs="Arial"/>
          <w:i/>
          <w:iCs/>
        </w:rPr>
        <w:t>rimary Frontage</w:t>
      </w:r>
      <w:r w:rsidR="005C03E0" w:rsidRPr="003633CC">
        <w:rPr>
          <w:rFonts w:ascii="Aptos" w:hAnsi="Aptos" w:cs="Arial"/>
        </w:rPr>
        <w:t>.</w:t>
      </w:r>
      <w:r w:rsidR="00EF5EAE" w:rsidRPr="003633CC">
        <w:rPr>
          <w:rFonts w:ascii="Aptos" w:hAnsi="Aptos" w:cs="Arial"/>
        </w:rPr>
        <w:t xml:space="preserve"> </w:t>
      </w:r>
      <w:r w:rsidR="005C03E0" w:rsidRPr="003633CC">
        <w:rPr>
          <w:rFonts w:ascii="Aptos" w:hAnsi="Aptos" w:cs="Arial"/>
        </w:rPr>
        <w:t>Lot</w:t>
      </w:r>
      <w:r w:rsidR="00EF5EAE" w:rsidRPr="003633CC">
        <w:rPr>
          <w:rFonts w:ascii="Aptos" w:hAnsi="Aptos" w:cs="Arial"/>
        </w:rPr>
        <w:t xml:space="preserve"> frontage along a street segment identified as a main street, village center street, or pedestrian priority street in § [__] or on the Official Map.</w:t>
      </w:r>
    </w:p>
    <w:p w14:paraId="310C79D1" w14:textId="36B6AF7D" w:rsidR="00EF5EAE" w:rsidRPr="003633CC" w:rsidRDefault="00EF5EAE" w:rsidP="00CA1C14">
      <w:pPr>
        <w:spacing w:before="200" w:after="200"/>
        <w:ind w:left="360"/>
        <w:jc w:val="both"/>
        <w:rPr>
          <w:rFonts w:ascii="Aptos" w:hAnsi="Aptos" w:cs="Arial"/>
        </w:rPr>
      </w:pPr>
      <w:r w:rsidRPr="003633CC">
        <w:rPr>
          <w:rFonts w:ascii="Aptos" w:hAnsi="Aptos" w:cs="Arial"/>
          <w:i/>
          <w:iCs/>
        </w:rPr>
        <w:t>Street-facing façade</w:t>
      </w:r>
      <w:r w:rsidR="005C03E0" w:rsidRPr="003633CC">
        <w:rPr>
          <w:rFonts w:ascii="Aptos" w:hAnsi="Aptos" w:cs="Arial"/>
        </w:rPr>
        <w:t>.</w:t>
      </w:r>
      <w:r w:rsidRPr="003633CC">
        <w:rPr>
          <w:rFonts w:ascii="Aptos" w:hAnsi="Aptos" w:cs="Arial"/>
        </w:rPr>
        <w:t xml:space="preserve"> </w:t>
      </w:r>
      <w:r w:rsidR="005C03E0" w:rsidRPr="003633CC">
        <w:rPr>
          <w:rFonts w:ascii="Aptos" w:hAnsi="Aptos" w:cs="Arial"/>
        </w:rPr>
        <w:t>The</w:t>
      </w:r>
      <w:r w:rsidRPr="003633CC">
        <w:rPr>
          <w:rFonts w:ascii="Aptos" w:hAnsi="Aptos" w:cs="Arial"/>
        </w:rPr>
        <w:t xml:space="preserve"> building exterior wall facing the Primary Frontage or Arterial Corridor, measured along the portion of the building within [__] feet of the front lot line.</w:t>
      </w:r>
    </w:p>
    <w:p w14:paraId="46AA0557" w14:textId="5920A40F" w:rsidR="00EF5EAE" w:rsidRPr="003633CC" w:rsidRDefault="00EF5EAE" w:rsidP="00CA1C14">
      <w:pPr>
        <w:spacing w:before="200" w:after="200"/>
        <w:ind w:left="360"/>
        <w:jc w:val="both"/>
        <w:rPr>
          <w:rFonts w:ascii="Aptos" w:hAnsi="Aptos" w:cs="Arial"/>
        </w:rPr>
      </w:pPr>
      <w:r w:rsidRPr="003633CC">
        <w:rPr>
          <w:rFonts w:ascii="Aptos" w:hAnsi="Aptos" w:cs="Arial"/>
          <w:i/>
          <w:iCs/>
        </w:rPr>
        <w:t>Transparency</w:t>
      </w:r>
      <w:r w:rsidR="005C03E0" w:rsidRPr="003633CC">
        <w:rPr>
          <w:rFonts w:ascii="Aptos" w:hAnsi="Aptos" w:cs="Arial"/>
        </w:rPr>
        <w:t>.</w:t>
      </w:r>
      <w:r w:rsidRPr="003633CC">
        <w:rPr>
          <w:rFonts w:ascii="Aptos" w:hAnsi="Aptos" w:cs="Arial"/>
        </w:rPr>
        <w:t xml:space="preserve"> </w:t>
      </w:r>
      <w:r w:rsidR="005C03E0" w:rsidRPr="003633CC">
        <w:rPr>
          <w:rFonts w:ascii="Aptos" w:hAnsi="Aptos" w:cs="Arial"/>
        </w:rPr>
        <w:t>C</w:t>
      </w:r>
      <w:r w:rsidRPr="003633CC">
        <w:rPr>
          <w:rFonts w:ascii="Aptos" w:hAnsi="Aptos" w:cs="Arial"/>
        </w:rPr>
        <w:t>lear glazing</w:t>
      </w:r>
      <w:r w:rsidR="005C03E0" w:rsidRPr="003633CC">
        <w:rPr>
          <w:rFonts w:ascii="Aptos" w:hAnsi="Aptos" w:cs="Arial"/>
        </w:rPr>
        <w:t xml:space="preserve"> </w:t>
      </w:r>
      <w:r w:rsidRPr="003633CC">
        <w:rPr>
          <w:rFonts w:ascii="Aptos" w:hAnsi="Aptos" w:cs="Arial"/>
        </w:rPr>
        <w:t>that allows views into interior space; spandrel glass, mirrored glass, and opaque glazing do not count.</w:t>
      </w:r>
    </w:p>
    <w:p w14:paraId="092996C9" w14:textId="6892089A" w:rsidR="00EF5EAE" w:rsidRPr="003633CC" w:rsidRDefault="00CA1C14" w:rsidP="00CA1C14">
      <w:pPr>
        <w:spacing w:before="200" w:after="200"/>
        <w:jc w:val="both"/>
        <w:rPr>
          <w:rFonts w:ascii="Aptos" w:hAnsi="Aptos" w:cs="Arial"/>
          <w:b/>
          <w:bCs/>
        </w:rPr>
      </w:pPr>
      <w:r w:rsidRPr="003633CC">
        <w:rPr>
          <w:rFonts w:ascii="Aptos" w:hAnsi="Aptos" w:cs="Arial"/>
          <w:b/>
          <w:bCs/>
        </w:rPr>
        <w:t xml:space="preserve">EXAMPLE A - </w:t>
      </w:r>
      <w:r w:rsidR="00EF5EAE" w:rsidRPr="003633CC">
        <w:rPr>
          <w:rFonts w:ascii="Aptos" w:hAnsi="Aptos" w:cs="Arial"/>
          <w:b/>
          <w:bCs/>
        </w:rPr>
        <w:t>Main Street/Village Centers</w:t>
      </w:r>
    </w:p>
    <w:p w14:paraId="1B8A5538" w14:textId="77F8C39C" w:rsidR="00EF5EAE" w:rsidRPr="003633CC" w:rsidRDefault="00EF5EAE" w:rsidP="003633CC">
      <w:pPr>
        <w:pStyle w:val="ListParagraph"/>
        <w:numPr>
          <w:ilvl w:val="0"/>
          <w:numId w:val="21"/>
        </w:numPr>
        <w:spacing w:before="200" w:after="200"/>
        <w:ind w:left="900"/>
        <w:jc w:val="both"/>
        <w:rPr>
          <w:rFonts w:ascii="Aptos" w:hAnsi="Aptos" w:cs="Arial"/>
        </w:rPr>
      </w:pPr>
      <w:r w:rsidRPr="003633CC">
        <w:rPr>
          <w:rFonts w:ascii="Aptos" w:hAnsi="Aptos" w:cs="Arial"/>
        </w:rPr>
        <w:t>Integration of residential and commercial uses</w:t>
      </w:r>
    </w:p>
    <w:p w14:paraId="24F401AA" w14:textId="1746FF16" w:rsidR="00EF5EAE" w:rsidRPr="003633CC" w:rsidRDefault="00EF5EAE" w:rsidP="00CA1C14">
      <w:pPr>
        <w:numPr>
          <w:ilvl w:val="0"/>
          <w:numId w:val="3"/>
        </w:numPr>
        <w:tabs>
          <w:tab w:val="clear" w:pos="720"/>
          <w:tab w:val="num" w:pos="2970"/>
        </w:tabs>
        <w:spacing w:before="200" w:after="200"/>
        <w:ind w:left="1800"/>
        <w:jc w:val="both"/>
        <w:rPr>
          <w:rFonts w:ascii="Aptos" w:hAnsi="Aptos" w:cs="Arial"/>
        </w:rPr>
      </w:pPr>
      <w:r w:rsidRPr="003633CC">
        <w:rPr>
          <w:rFonts w:ascii="Aptos" w:hAnsi="Aptos" w:cs="Arial"/>
        </w:rPr>
        <w:t xml:space="preserve">Minimum active ground-floor frontage. Along </w:t>
      </w:r>
      <w:r w:rsidR="00975B56" w:rsidRPr="003633CC">
        <w:rPr>
          <w:rFonts w:ascii="Aptos" w:hAnsi="Aptos" w:cs="Arial"/>
        </w:rPr>
        <w:t>primary frontage</w:t>
      </w:r>
      <w:r w:rsidRPr="003633CC">
        <w:rPr>
          <w:rFonts w:ascii="Aptos" w:hAnsi="Aptos" w:cs="Arial"/>
        </w:rPr>
        <w:t xml:space="preserve">, at least </w:t>
      </w:r>
      <w:r w:rsidR="00975B56" w:rsidRPr="003633CC">
        <w:rPr>
          <w:rFonts w:ascii="Aptos" w:hAnsi="Aptos" w:cs="Arial"/>
        </w:rPr>
        <w:t>[</w:t>
      </w:r>
      <w:r w:rsidR="00763E62" w:rsidRPr="003633CC">
        <w:rPr>
          <w:rFonts w:ascii="Aptos" w:hAnsi="Aptos" w:cs="Arial"/>
        </w:rPr>
        <w:t>INSERT PERCENTAGE</w:t>
      </w:r>
      <w:r w:rsidR="00975B56" w:rsidRPr="003633CC">
        <w:rPr>
          <w:rFonts w:ascii="Aptos" w:hAnsi="Aptos" w:cs="Arial"/>
        </w:rPr>
        <w:t xml:space="preserve"> (</w:t>
      </w:r>
      <w:r w:rsidR="00763E62" w:rsidRPr="003633CC">
        <w:rPr>
          <w:rFonts w:ascii="Aptos" w:hAnsi="Aptos" w:cs="Arial"/>
        </w:rPr>
        <w:t>X</w:t>
      </w:r>
      <w:r w:rsidR="00975B56" w:rsidRPr="003633CC">
        <w:rPr>
          <w:rFonts w:ascii="Aptos" w:hAnsi="Aptos" w:cs="Arial"/>
        </w:rPr>
        <w:t>%)]</w:t>
      </w:r>
      <w:r w:rsidRPr="003633CC">
        <w:rPr>
          <w:rFonts w:ascii="Aptos" w:hAnsi="Aptos" w:cs="Arial"/>
        </w:rPr>
        <w:t xml:space="preserve"> of the length of the street-facing ground-floor façade shall be occupied by </w:t>
      </w:r>
      <w:r w:rsidR="00975B56" w:rsidRPr="003633CC">
        <w:rPr>
          <w:rFonts w:ascii="Aptos" w:hAnsi="Aptos" w:cs="Arial"/>
        </w:rPr>
        <w:t>active use</w:t>
      </w:r>
      <w:r w:rsidRPr="003633CC">
        <w:rPr>
          <w:rFonts w:ascii="Aptos" w:hAnsi="Aptos" w:cs="Arial"/>
        </w:rPr>
        <w:t>.</w:t>
      </w:r>
    </w:p>
    <w:p w14:paraId="3FF092B3" w14:textId="0025CC69" w:rsidR="00EF5EAE" w:rsidRPr="003633CC" w:rsidRDefault="00EF5EAE" w:rsidP="00CA1C14">
      <w:pPr>
        <w:numPr>
          <w:ilvl w:val="0"/>
          <w:numId w:val="3"/>
        </w:numPr>
        <w:tabs>
          <w:tab w:val="clear" w:pos="720"/>
          <w:tab w:val="num" w:pos="2970"/>
        </w:tabs>
        <w:spacing w:before="200" w:after="200"/>
        <w:ind w:left="1800"/>
        <w:jc w:val="both"/>
        <w:rPr>
          <w:rFonts w:ascii="Aptos" w:hAnsi="Aptos" w:cs="Arial"/>
        </w:rPr>
      </w:pPr>
      <w:r w:rsidRPr="003633CC">
        <w:rPr>
          <w:rFonts w:ascii="Aptos" w:hAnsi="Aptos" w:cs="Arial"/>
        </w:rPr>
        <w:t xml:space="preserve">Transparency. Along </w:t>
      </w:r>
      <w:r w:rsidR="00975B56" w:rsidRPr="003633CC">
        <w:rPr>
          <w:rFonts w:ascii="Aptos" w:hAnsi="Aptos" w:cs="Arial"/>
        </w:rPr>
        <w:t>primary frontage</w:t>
      </w:r>
      <w:r w:rsidRPr="003633CC">
        <w:rPr>
          <w:rFonts w:ascii="Aptos" w:hAnsi="Aptos" w:cs="Arial"/>
        </w:rPr>
        <w:t xml:space="preserve">, the street-facing ground-floor façade shall provide a minimum of </w:t>
      </w:r>
      <w:r w:rsidR="00975B56" w:rsidRPr="003633CC">
        <w:rPr>
          <w:rFonts w:ascii="Aptos" w:hAnsi="Aptos" w:cs="Arial"/>
        </w:rPr>
        <w:t>[</w:t>
      </w:r>
      <w:r w:rsidR="00763E62" w:rsidRPr="003633CC">
        <w:rPr>
          <w:rFonts w:ascii="Aptos" w:hAnsi="Aptos" w:cs="Arial"/>
        </w:rPr>
        <w:t>INSERT</w:t>
      </w:r>
      <w:r w:rsidR="00975B56" w:rsidRPr="003633CC">
        <w:rPr>
          <w:rFonts w:ascii="Aptos" w:hAnsi="Aptos" w:cs="Arial"/>
        </w:rPr>
        <w:t xml:space="preserve"> PERCENT</w:t>
      </w:r>
      <w:r w:rsidR="00763E62" w:rsidRPr="003633CC">
        <w:rPr>
          <w:rFonts w:ascii="Aptos" w:hAnsi="Aptos" w:cs="Arial"/>
        </w:rPr>
        <w:t>AGE</w:t>
      </w:r>
      <w:r w:rsidR="00975B56" w:rsidRPr="003633CC">
        <w:rPr>
          <w:rFonts w:ascii="Aptos" w:hAnsi="Aptos" w:cs="Arial"/>
        </w:rPr>
        <w:t xml:space="preserve"> (</w:t>
      </w:r>
      <w:r w:rsidR="00763E62" w:rsidRPr="003633CC">
        <w:rPr>
          <w:rFonts w:ascii="Aptos" w:hAnsi="Aptos" w:cs="Arial"/>
        </w:rPr>
        <w:t>X</w:t>
      </w:r>
      <w:r w:rsidR="00975B56" w:rsidRPr="003633CC">
        <w:rPr>
          <w:rFonts w:ascii="Aptos" w:hAnsi="Aptos" w:cs="Arial"/>
        </w:rPr>
        <w:t xml:space="preserve">%)] </w:t>
      </w:r>
      <w:r w:rsidR="00763E62" w:rsidRPr="003633CC">
        <w:rPr>
          <w:rFonts w:ascii="Aptos" w:hAnsi="Aptos" w:cs="Arial"/>
        </w:rPr>
        <w:t>transparency measured between</w:t>
      </w:r>
      <w:r w:rsidR="00975B56" w:rsidRPr="003633CC">
        <w:rPr>
          <w:rFonts w:ascii="Aptos" w:hAnsi="Aptos" w:cs="Arial"/>
        </w:rPr>
        <w:t xml:space="preserve"> [</w:t>
      </w:r>
      <w:r w:rsidR="00763E62" w:rsidRPr="003633CC">
        <w:rPr>
          <w:rFonts w:ascii="Aptos" w:hAnsi="Aptos" w:cs="Arial"/>
        </w:rPr>
        <w:t>INSERT NUMBER OF</w:t>
      </w:r>
      <w:r w:rsidR="00975B56" w:rsidRPr="003633CC">
        <w:rPr>
          <w:rFonts w:ascii="Aptos" w:hAnsi="Aptos" w:cs="Arial"/>
        </w:rPr>
        <w:t xml:space="preserve"> FEET AND </w:t>
      </w:r>
      <w:r w:rsidR="00763E62" w:rsidRPr="003633CC">
        <w:rPr>
          <w:rFonts w:ascii="Aptos" w:hAnsi="Aptos" w:cs="Arial"/>
        </w:rPr>
        <w:t>INSERT NUMBER OF</w:t>
      </w:r>
      <w:r w:rsidR="00975B56" w:rsidRPr="003633CC">
        <w:rPr>
          <w:rFonts w:ascii="Aptos" w:hAnsi="Aptos" w:cs="Arial"/>
        </w:rPr>
        <w:t xml:space="preserve"> FEET]</w:t>
      </w:r>
      <w:r w:rsidRPr="003633CC">
        <w:rPr>
          <w:rFonts w:ascii="Aptos" w:hAnsi="Aptos" w:cs="Arial"/>
        </w:rPr>
        <w:t xml:space="preserve"> above the adjacent sidewalk grade.</w:t>
      </w:r>
    </w:p>
    <w:p w14:paraId="6C2E96D6" w14:textId="77777777" w:rsidR="00CA1C14" w:rsidRPr="003633CC" w:rsidRDefault="00EF5EAE" w:rsidP="003633CC">
      <w:pPr>
        <w:pStyle w:val="ListParagraph"/>
        <w:numPr>
          <w:ilvl w:val="1"/>
          <w:numId w:val="22"/>
        </w:numPr>
        <w:spacing w:before="200" w:after="200"/>
        <w:ind w:left="900"/>
        <w:jc w:val="both"/>
        <w:rPr>
          <w:rFonts w:ascii="Aptos" w:hAnsi="Aptos" w:cs="Arial"/>
        </w:rPr>
      </w:pPr>
      <w:r w:rsidRPr="003633CC">
        <w:rPr>
          <w:rFonts w:ascii="Aptos" w:hAnsi="Aptos" w:cs="Arial"/>
        </w:rPr>
        <w:t xml:space="preserve">Maximum blank wall. No </w:t>
      </w:r>
      <w:r w:rsidR="00975B56" w:rsidRPr="003633CC">
        <w:rPr>
          <w:rFonts w:ascii="Aptos" w:hAnsi="Aptos" w:cs="Arial"/>
        </w:rPr>
        <w:t xml:space="preserve">blank wall </w:t>
      </w:r>
      <w:r w:rsidRPr="003633CC">
        <w:rPr>
          <w:rFonts w:ascii="Aptos" w:hAnsi="Aptos" w:cs="Arial"/>
        </w:rPr>
        <w:t xml:space="preserve">segment along </w:t>
      </w:r>
      <w:r w:rsidR="00975B56" w:rsidRPr="003633CC">
        <w:rPr>
          <w:rFonts w:ascii="Aptos" w:hAnsi="Aptos" w:cs="Arial"/>
        </w:rPr>
        <w:t xml:space="preserve">primary frontage </w:t>
      </w:r>
      <w:r w:rsidRPr="003633CC">
        <w:rPr>
          <w:rFonts w:ascii="Aptos" w:hAnsi="Aptos" w:cs="Arial"/>
        </w:rPr>
        <w:t xml:space="preserve">shall exceed </w:t>
      </w:r>
      <w:r w:rsidR="00975B56" w:rsidRPr="003633CC">
        <w:rPr>
          <w:rFonts w:ascii="Aptos" w:hAnsi="Aptos" w:cs="Arial"/>
        </w:rPr>
        <w:t>[</w:t>
      </w:r>
      <w:r w:rsidR="00763E62" w:rsidRPr="003633CC">
        <w:rPr>
          <w:rFonts w:ascii="Aptos" w:hAnsi="Aptos" w:cs="Arial"/>
        </w:rPr>
        <w:t>INSERT NUMBER]</w:t>
      </w:r>
      <w:r w:rsidR="00975B56" w:rsidRPr="003633CC">
        <w:rPr>
          <w:rFonts w:ascii="Aptos" w:hAnsi="Aptos" w:cs="Arial"/>
        </w:rPr>
        <w:t xml:space="preserve"> </w:t>
      </w:r>
      <w:r w:rsidR="00763E62" w:rsidRPr="003633CC">
        <w:rPr>
          <w:rFonts w:ascii="Aptos" w:hAnsi="Aptos" w:cs="Arial"/>
        </w:rPr>
        <w:t>linear feet.</w:t>
      </w:r>
    </w:p>
    <w:p w14:paraId="3C4687AC" w14:textId="77777777" w:rsidR="00CA1C14" w:rsidRPr="003633CC" w:rsidRDefault="00EF5EAE" w:rsidP="003633CC">
      <w:pPr>
        <w:pStyle w:val="ListParagraph"/>
        <w:numPr>
          <w:ilvl w:val="1"/>
          <w:numId w:val="22"/>
        </w:numPr>
        <w:spacing w:before="200" w:after="200"/>
        <w:ind w:left="900"/>
        <w:jc w:val="both"/>
        <w:rPr>
          <w:rFonts w:ascii="Aptos" w:hAnsi="Aptos" w:cs="Arial"/>
        </w:rPr>
      </w:pPr>
      <w:r w:rsidRPr="003633CC">
        <w:rPr>
          <w:rFonts w:ascii="Aptos" w:hAnsi="Aptos" w:cs="Arial"/>
        </w:rPr>
        <w:t xml:space="preserve">Entrance frequency. Provide at least </w:t>
      </w:r>
      <w:r w:rsidR="00763E62" w:rsidRPr="003633CC">
        <w:rPr>
          <w:rFonts w:ascii="Aptos" w:hAnsi="Aptos" w:cs="Arial"/>
        </w:rPr>
        <w:t>[</w:t>
      </w:r>
      <w:r w:rsidRPr="003633CC">
        <w:rPr>
          <w:rFonts w:ascii="Aptos" w:hAnsi="Aptos" w:cs="Arial"/>
        </w:rPr>
        <w:t>one (1)</w:t>
      </w:r>
      <w:r w:rsidR="00763E62" w:rsidRPr="003633CC">
        <w:rPr>
          <w:rFonts w:ascii="Aptos" w:hAnsi="Aptos" w:cs="Arial"/>
        </w:rPr>
        <w:t>]</w:t>
      </w:r>
      <w:r w:rsidRPr="003633CC">
        <w:rPr>
          <w:rFonts w:ascii="Aptos" w:hAnsi="Aptos" w:cs="Arial"/>
        </w:rPr>
        <w:t xml:space="preserve"> customer-facing entrance on </w:t>
      </w:r>
      <w:r w:rsidR="00763E62" w:rsidRPr="003633CC">
        <w:rPr>
          <w:rFonts w:ascii="Aptos" w:hAnsi="Aptos" w:cs="Arial"/>
        </w:rPr>
        <w:t>the p</w:t>
      </w:r>
      <w:r w:rsidRPr="003633CC">
        <w:rPr>
          <w:rFonts w:ascii="Aptos" w:hAnsi="Aptos" w:cs="Arial"/>
        </w:rPr>
        <w:t xml:space="preserve">rimary </w:t>
      </w:r>
      <w:r w:rsidR="00763E62" w:rsidRPr="003633CC">
        <w:rPr>
          <w:rFonts w:ascii="Aptos" w:hAnsi="Aptos" w:cs="Arial"/>
        </w:rPr>
        <w:t>f</w:t>
      </w:r>
      <w:r w:rsidRPr="003633CC">
        <w:rPr>
          <w:rFonts w:ascii="Aptos" w:hAnsi="Aptos" w:cs="Arial"/>
        </w:rPr>
        <w:t xml:space="preserve">rontage per </w:t>
      </w:r>
      <w:r w:rsidR="00975B56" w:rsidRPr="003633CC">
        <w:rPr>
          <w:rFonts w:ascii="Aptos" w:hAnsi="Aptos" w:cs="Arial"/>
        </w:rPr>
        <w:t>[</w:t>
      </w:r>
      <w:r w:rsidR="00763E62" w:rsidRPr="003633CC">
        <w:rPr>
          <w:rFonts w:ascii="Aptos" w:hAnsi="Aptos" w:cs="Arial"/>
        </w:rPr>
        <w:t>INSERT NUMBER]</w:t>
      </w:r>
      <w:r w:rsidR="00975B56" w:rsidRPr="003633CC">
        <w:rPr>
          <w:rFonts w:ascii="Aptos" w:hAnsi="Aptos" w:cs="Arial"/>
        </w:rPr>
        <w:t xml:space="preserve"> </w:t>
      </w:r>
      <w:r w:rsidR="00763E62" w:rsidRPr="003633CC">
        <w:rPr>
          <w:rFonts w:ascii="Aptos" w:hAnsi="Aptos" w:cs="Arial"/>
        </w:rPr>
        <w:t xml:space="preserve">linear feet </w:t>
      </w:r>
      <w:r w:rsidRPr="003633CC">
        <w:rPr>
          <w:rFonts w:ascii="Aptos" w:hAnsi="Aptos" w:cs="Arial"/>
        </w:rPr>
        <w:t xml:space="preserve">of </w:t>
      </w:r>
      <w:r w:rsidR="00763E62" w:rsidRPr="003633CC">
        <w:rPr>
          <w:rFonts w:ascii="Aptos" w:hAnsi="Aptos" w:cs="Arial"/>
        </w:rPr>
        <w:t>primary frontage</w:t>
      </w:r>
      <w:r w:rsidRPr="003633CC">
        <w:rPr>
          <w:rFonts w:ascii="Aptos" w:hAnsi="Aptos" w:cs="Arial"/>
        </w:rPr>
        <w:t xml:space="preserve">, or </w:t>
      </w:r>
      <w:r w:rsidR="00763E62" w:rsidRPr="003633CC">
        <w:rPr>
          <w:rFonts w:ascii="Aptos" w:hAnsi="Aptos" w:cs="Arial"/>
        </w:rPr>
        <w:t>[</w:t>
      </w:r>
      <w:r w:rsidRPr="003633CC">
        <w:rPr>
          <w:rFonts w:ascii="Aptos" w:hAnsi="Aptos" w:cs="Arial"/>
        </w:rPr>
        <w:t>one (1)</w:t>
      </w:r>
      <w:r w:rsidR="00763E62" w:rsidRPr="003633CC">
        <w:rPr>
          <w:rFonts w:ascii="Aptos" w:hAnsi="Aptos" w:cs="Arial"/>
        </w:rPr>
        <w:t>]</w:t>
      </w:r>
      <w:r w:rsidRPr="003633CC">
        <w:rPr>
          <w:rFonts w:ascii="Aptos" w:hAnsi="Aptos" w:cs="Arial"/>
        </w:rPr>
        <w:t xml:space="preserve"> entrance per ground-floor tenant space, whichever yields more entrances.</w:t>
      </w:r>
    </w:p>
    <w:p w14:paraId="360235B0" w14:textId="459D3D54" w:rsidR="00EF5EAE" w:rsidRPr="003633CC" w:rsidRDefault="00EF5EAE" w:rsidP="003633CC">
      <w:pPr>
        <w:pStyle w:val="ListParagraph"/>
        <w:numPr>
          <w:ilvl w:val="1"/>
          <w:numId w:val="22"/>
        </w:numPr>
        <w:spacing w:before="200" w:after="200"/>
        <w:ind w:left="900"/>
        <w:jc w:val="both"/>
        <w:rPr>
          <w:rFonts w:ascii="Aptos" w:hAnsi="Aptos" w:cs="Arial"/>
        </w:rPr>
      </w:pPr>
      <w:r w:rsidRPr="003633CC">
        <w:rPr>
          <w:rFonts w:ascii="Aptos" w:hAnsi="Aptos" w:cs="Arial"/>
        </w:rPr>
        <w:t>Residential above ground/first-floor commercial</w:t>
      </w:r>
    </w:p>
    <w:p w14:paraId="0DD25E62" w14:textId="33160C1C" w:rsidR="00EF5EAE" w:rsidRPr="003633CC" w:rsidRDefault="00EF5EAE" w:rsidP="00CA1C14">
      <w:pPr>
        <w:numPr>
          <w:ilvl w:val="0"/>
          <w:numId w:val="4"/>
        </w:numPr>
        <w:tabs>
          <w:tab w:val="clear" w:pos="720"/>
          <w:tab w:val="num" w:pos="1800"/>
        </w:tabs>
        <w:spacing w:before="200" w:after="200"/>
        <w:ind w:left="1800"/>
        <w:jc w:val="both"/>
        <w:rPr>
          <w:rFonts w:ascii="Aptos" w:hAnsi="Aptos" w:cs="Arial"/>
        </w:rPr>
      </w:pPr>
      <w:r w:rsidRPr="003633CC">
        <w:rPr>
          <w:rFonts w:ascii="Aptos" w:hAnsi="Aptos" w:cs="Arial"/>
        </w:rPr>
        <w:t>Upper-floor residential permitted. Residential units are permitted above ground-floor/first-floor commercial uses in mixed-use buildings and shall be prohibited from the ground-floor/</w:t>
      </w:r>
      <w:proofErr w:type="gramStart"/>
      <w:r w:rsidRPr="003633CC">
        <w:rPr>
          <w:rFonts w:ascii="Aptos" w:hAnsi="Aptos" w:cs="Arial"/>
        </w:rPr>
        <w:t>first-floor</w:t>
      </w:r>
      <w:proofErr w:type="gramEnd"/>
      <w:r w:rsidRPr="003633CC">
        <w:rPr>
          <w:rFonts w:ascii="Aptos" w:hAnsi="Aptos" w:cs="Arial"/>
        </w:rPr>
        <w:t>.</w:t>
      </w:r>
    </w:p>
    <w:p w14:paraId="5A7B86FA" w14:textId="326B7346" w:rsidR="00EF5EAE" w:rsidRPr="003633CC" w:rsidRDefault="00EF5EAE" w:rsidP="003633CC">
      <w:pPr>
        <w:pStyle w:val="ListParagraph"/>
        <w:numPr>
          <w:ilvl w:val="1"/>
          <w:numId w:val="22"/>
        </w:numPr>
        <w:spacing w:before="200" w:after="200"/>
        <w:ind w:left="900"/>
        <w:jc w:val="both"/>
        <w:rPr>
          <w:rFonts w:ascii="Aptos" w:hAnsi="Aptos" w:cs="Arial"/>
        </w:rPr>
      </w:pPr>
      <w:r w:rsidRPr="003633CC">
        <w:rPr>
          <w:rFonts w:ascii="Aptos" w:hAnsi="Aptos" w:cs="Arial"/>
        </w:rPr>
        <w:t>Medium- to high-density residential allowance</w:t>
      </w:r>
    </w:p>
    <w:p w14:paraId="4FF6198F" w14:textId="6E070FCB" w:rsidR="00EF5EAE" w:rsidRPr="003633CC" w:rsidRDefault="00EF5EAE" w:rsidP="00CA1C14">
      <w:pPr>
        <w:numPr>
          <w:ilvl w:val="0"/>
          <w:numId w:val="5"/>
        </w:numPr>
        <w:tabs>
          <w:tab w:val="clear" w:pos="720"/>
          <w:tab w:val="left" w:pos="1800"/>
        </w:tabs>
        <w:spacing w:before="200" w:after="200"/>
        <w:ind w:left="1800"/>
        <w:jc w:val="both"/>
        <w:rPr>
          <w:rFonts w:ascii="Aptos" w:hAnsi="Aptos" w:cs="Arial"/>
        </w:rPr>
      </w:pPr>
      <w:r w:rsidRPr="003633CC">
        <w:rPr>
          <w:rFonts w:ascii="Aptos" w:hAnsi="Aptos" w:cs="Arial"/>
        </w:rPr>
        <w:t xml:space="preserve">Form/height authorization. Buildings containing residential units are permitted up to </w:t>
      </w:r>
      <w:r w:rsidR="00975B56" w:rsidRPr="003633CC">
        <w:rPr>
          <w:rFonts w:ascii="Aptos" w:hAnsi="Aptos" w:cs="Arial"/>
        </w:rPr>
        <w:t>[</w:t>
      </w:r>
      <w:r w:rsidR="00276D88" w:rsidRPr="003633CC">
        <w:rPr>
          <w:rFonts w:ascii="Aptos" w:hAnsi="Aptos" w:cs="Arial"/>
        </w:rPr>
        <w:t xml:space="preserve">INSERT NUMBER] stories </w:t>
      </w:r>
      <w:r w:rsidRPr="003633CC">
        <w:rPr>
          <w:rFonts w:ascii="Aptos" w:hAnsi="Aptos" w:cs="Arial"/>
        </w:rPr>
        <w:t xml:space="preserve">and </w:t>
      </w:r>
      <w:r w:rsidR="00975B56" w:rsidRPr="003633CC">
        <w:rPr>
          <w:rFonts w:ascii="Aptos" w:hAnsi="Aptos" w:cs="Arial"/>
        </w:rPr>
        <w:t>[</w:t>
      </w:r>
      <w:r w:rsidR="00276D88" w:rsidRPr="003633CC">
        <w:rPr>
          <w:rFonts w:ascii="Aptos" w:hAnsi="Aptos" w:cs="Arial"/>
        </w:rPr>
        <w:t>INSERT NUMBER]</w:t>
      </w:r>
      <w:r w:rsidR="00975B56" w:rsidRPr="003633CC">
        <w:rPr>
          <w:rFonts w:ascii="Aptos" w:hAnsi="Aptos" w:cs="Arial"/>
        </w:rPr>
        <w:t xml:space="preserve"> </w:t>
      </w:r>
      <w:r w:rsidR="00276D88" w:rsidRPr="003633CC">
        <w:rPr>
          <w:rFonts w:ascii="Aptos" w:hAnsi="Aptos" w:cs="Arial"/>
        </w:rPr>
        <w:t>feet in height</w:t>
      </w:r>
      <w:r w:rsidRPr="003633CC">
        <w:rPr>
          <w:rFonts w:ascii="Aptos" w:hAnsi="Aptos" w:cs="Arial"/>
        </w:rPr>
        <w:t>.</w:t>
      </w:r>
    </w:p>
    <w:p w14:paraId="2CD1C351" w14:textId="462F7531" w:rsidR="00EF5EAE" w:rsidRPr="003633CC" w:rsidRDefault="00975B56" w:rsidP="003633CC">
      <w:pPr>
        <w:pStyle w:val="ListParagraph"/>
        <w:numPr>
          <w:ilvl w:val="1"/>
          <w:numId w:val="22"/>
        </w:numPr>
        <w:spacing w:before="200" w:after="200"/>
        <w:ind w:left="900"/>
        <w:jc w:val="both"/>
        <w:rPr>
          <w:rFonts w:ascii="Aptos" w:hAnsi="Aptos" w:cs="Arial"/>
        </w:rPr>
      </w:pPr>
      <w:r w:rsidRPr="003633CC">
        <w:rPr>
          <w:rFonts w:ascii="Aptos" w:hAnsi="Aptos" w:cs="Arial"/>
        </w:rPr>
        <w:t>Dimensional standards</w:t>
      </w:r>
    </w:p>
    <w:p w14:paraId="063EB5B3" w14:textId="4D1B6573" w:rsidR="00EF5EAE" w:rsidRPr="003633CC" w:rsidRDefault="00EF5EAE" w:rsidP="00CA1C14">
      <w:pPr>
        <w:numPr>
          <w:ilvl w:val="0"/>
          <w:numId w:val="6"/>
        </w:numPr>
        <w:tabs>
          <w:tab w:val="clear" w:pos="720"/>
          <w:tab w:val="num" w:pos="1800"/>
        </w:tabs>
        <w:spacing w:before="200" w:after="200"/>
        <w:ind w:left="1800"/>
        <w:jc w:val="both"/>
        <w:rPr>
          <w:rFonts w:ascii="Aptos" w:hAnsi="Aptos" w:cs="Arial"/>
        </w:rPr>
      </w:pPr>
      <w:r w:rsidRPr="003633CC">
        <w:rPr>
          <w:rFonts w:ascii="Aptos" w:hAnsi="Aptos" w:cs="Arial"/>
        </w:rPr>
        <w:t xml:space="preserve">Build-to requirement. For at least </w:t>
      </w:r>
      <w:r w:rsidR="00975B56" w:rsidRPr="003633CC">
        <w:rPr>
          <w:rFonts w:ascii="Aptos" w:hAnsi="Aptos" w:cs="Arial"/>
        </w:rPr>
        <w:t>[</w:t>
      </w:r>
      <w:r w:rsidR="00CA1C14" w:rsidRPr="003633CC">
        <w:rPr>
          <w:rFonts w:ascii="Aptos" w:hAnsi="Aptos" w:cs="Arial"/>
        </w:rPr>
        <w:t>INSERT</w:t>
      </w:r>
      <w:r w:rsidR="00975B56" w:rsidRPr="003633CC">
        <w:rPr>
          <w:rFonts w:ascii="Aptos" w:hAnsi="Aptos" w:cs="Arial"/>
        </w:rPr>
        <w:t xml:space="preserve"> PERCENT (</w:t>
      </w:r>
      <w:r w:rsidR="00CA1C14" w:rsidRPr="003633CC">
        <w:rPr>
          <w:rFonts w:ascii="Aptos" w:hAnsi="Aptos" w:cs="Arial"/>
        </w:rPr>
        <w:t>X</w:t>
      </w:r>
      <w:r w:rsidR="00975B56" w:rsidRPr="003633CC">
        <w:rPr>
          <w:rFonts w:ascii="Aptos" w:hAnsi="Aptos" w:cs="Arial"/>
        </w:rPr>
        <w:t xml:space="preserve">%)] </w:t>
      </w:r>
      <w:r w:rsidRPr="003633CC">
        <w:rPr>
          <w:rFonts w:ascii="Aptos" w:hAnsi="Aptos" w:cs="Arial"/>
        </w:rPr>
        <w:t xml:space="preserve">of the </w:t>
      </w:r>
      <w:r w:rsidR="00975B56" w:rsidRPr="003633CC">
        <w:rPr>
          <w:rFonts w:ascii="Aptos" w:hAnsi="Aptos" w:cs="Arial"/>
        </w:rPr>
        <w:t xml:space="preserve">primary frontage </w:t>
      </w:r>
      <w:r w:rsidRPr="003633CC">
        <w:rPr>
          <w:rFonts w:ascii="Aptos" w:hAnsi="Aptos" w:cs="Arial"/>
        </w:rPr>
        <w:t xml:space="preserve">length of the lot, the principal building façade shall be located between </w:t>
      </w:r>
      <w:r w:rsidR="00975B56" w:rsidRPr="003633CC">
        <w:rPr>
          <w:rFonts w:ascii="Aptos" w:hAnsi="Aptos" w:cs="Arial"/>
        </w:rPr>
        <w:t>[</w:t>
      </w:r>
      <w:r w:rsidR="00CA1C14" w:rsidRPr="003633CC">
        <w:rPr>
          <w:rFonts w:ascii="Aptos" w:hAnsi="Aptos" w:cs="Arial"/>
        </w:rPr>
        <w:t>INSERT NUMBER]</w:t>
      </w:r>
      <w:r w:rsidR="00975B56" w:rsidRPr="003633CC">
        <w:rPr>
          <w:rFonts w:ascii="Aptos" w:hAnsi="Aptos" w:cs="Arial"/>
        </w:rPr>
        <w:t xml:space="preserve"> </w:t>
      </w:r>
      <w:r w:rsidR="00CA1C14" w:rsidRPr="003633CC">
        <w:rPr>
          <w:rFonts w:ascii="Aptos" w:hAnsi="Aptos" w:cs="Arial"/>
        </w:rPr>
        <w:t>and</w:t>
      </w:r>
      <w:r w:rsidR="00975B56" w:rsidRPr="003633CC">
        <w:rPr>
          <w:rFonts w:ascii="Aptos" w:hAnsi="Aptos" w:cs="Arial"/>
        </w:rPr>
        <w:t xml:space="preserve"> </w:t>
      </w:r>
      <w:r w:rsidR="00CA1C14" w:rsidRPr="003633CC">
        <w:rPr>
          <w:rFonts w:ascii="Aptos" w:hAnsi="Aptos" w:cs="Arial"/>
        </w:rPr>
        <w:t>INSERT NUMBER]</w:t>
      </w:r>
      <w:r w:rsidR="00975B56" w:rsidRPr="003633CC">
        <w:rPr>
          <w:rFonts w:ascii="Aptos" w:hAnsi="Aptos" w:cs="Arial"/>
        </w:rPr>
        <w:t xml:space="preserve"> </w:t>
      </w:r>
      <w:r w:rsidR="00CA1C14" w:rsidRPr="003633CC">
        <w:rPr>
          <w:rFonts w:ascii="Aptos" w:hAnsi="Aptos" w:cs="Arial"/>
        </w:rPr>
        <w:t>feet</w:t>
      </w:r>
      <w:r w:rsidRPr="003633CC">
        <w:rPr>
          <w:rFonts w:ascii="Aptos" w:hAnsi="Aptos" w:cs="Arial"/>
        </w:rPr>
        <w:t xml:space="preserve"> from the front lot line.</w:t>
      </w:r>
    </w:p>
    <w:p w14:paraId="2ECD3B24" w14:textId="10EC06B2" w:rsidR="00EF5EAE" w:rsidRPr="003633CC" w:rsidRDefault="00EF5EAE" w:rsidP="00CA1C14">
      <w:pPr>
        <w:numPr>
          <w:ilvl w:val="0"/>
          <w:numId w:val="6"/>
        </w:numPr>
        <w:tabs>
          <w:tab w:val="clear" w:pos="720"/>
          <w:tab w:val="num" w:pos="1800"/>
        </w:tabs>
        <w:spacing w:before="200" w:after="200"/>
        <w:ind w:left="1800"/>
        <w:jc w:val="both"/>
        <w:rPr>
          <w:rFonts w:ascii="Aptos" w:hAnsi="Aptos" w:cs="Arial"/>
        </w:rPr>
      </w:pPr>
      <w:r w:rsidRPr="003633CC">
        <w:rPr>
          <w:rFonts w:ascii="Aptos" w:hAnsi="Aptos" w:cs="Arial"/>
        </w:rPr>
        <w:t xml:space="preserve">Side setback range. Side setbacks shall be </w:t>
      </w:r>
      <w:r w:rsidR="00975B56" w:rsidRPr="003633CC">
        <w:rPr>
          <w:rFonts w:ascii="Aptos" w:hAnsi="Aptos" w:cs="Arial"/>
        </w:rPr>
        <w:t>[</w:t>
      </w:r>
      <w:r w:rsidR="00CA1C14" w:rsidRPr="003633CC">
        <w:rPr>
          <w:rFonts w:ascii="Aptos" w:hAnsi="Aptos" w:cs="Arial"/>
        </w:rPr>
        <w:t>INSERT NUMBER]</w:t>
      </w:r>
      <w:r w:rsidR="00975B56" w:rsidRPr="003633CC">
        <w:rPr>
          <w:rFonts w:ascii="Aptos" w:hAnsi="Aptos" w:cs="Arial"/>
        </w:rPr>
        <w:t xml:space="preserve"> </w:t>
      </w:r>
      <w:r w:rsidR="00CA1C14" w:rsidRPr="003633CC">
        <w:rPr>
          <w:rFonts w:ascii="Aptos" w:hAnsi="Aptos" w:cs="Arial"/>
        </w:rPr>
        <w:t>to</w:t>
      </w:r>
      <w:r w:rsidR="00975B56" w:rsidRPr="003633CC">
        <w:rPr>
          <w:rFonts w:ascii="Aptos" w:hAnsi="Aptos" w:cs="Arial"/>
        </w:rPr>
        <w:t xml:space="preserve"> </w:t>
      </w:r>
      <w:r w:rsidR="00CA1C14" w:rsidRPr="003633CC">
        <w:rPr>
          <w:rFonts w:ascii="Aptos" w:hAnsi="Aptos" w:cs="Arial"/>
        </w:rPr>
        <w:t>[INSERT NUMBER</w:t>
      </w:r>
      <w:r w:rsidR="00975B56" w:rsidRPr="003633CC">
        <w:rPr>
          <w:rFonts w:ascii="Aptos" w:hAnsi="Aptos" w:cs="Arial"/>
        </w:rPr>
        <w:t>]</w:t>
      </w:r>
      <w:r w:rsidR="00CA1C14" w:rsidRPr="003633CC">
        <w:rPr>
          <w:rFonts w:ascii="Aptos" w:hAnsi="Aptos" w:cs="Arial"/>
        </w:rPr>
        <w:t xml:space="preserve"> feet</w:t>
      </w:r>
      <w:r w:rsidRPr="003633CC">
        <w:rPr>
          <w:rFonts w:ascii="Aptos" w:hAnsi="Aptos" w:cs="Arial"/>
        </w:rPr>
        <w:t>, except where required for fire separation by building code.</w:t>
      </w:r>
    </w:p>
    <w:p w14:paraId="1262A6E1" w14:textId="7C4048C0" w:rsidR="00EF5EAE" w:rsidRPr="003633CC" w:rsidRDefault="00EF5EAE" w:rsidP="00CA1C14">
      <w:pPr>
        <w:numPr>
          <w:ilvl w:val="0"/>
          <w:numId w:val="6"/>
        </w:numPr>
        <w:tabs>
          <w:tab w:val="clear" w:pos="720"/>
          <w:tab w:val="num" w:pos="1800"/>
        </w:tabs>
        <w:spacing w:before="200" w:after="200"/>
        <w:ind w:left="1800"/>
        <w:jc w:val="both"/>
        <w:rPr>
          <w:rFonts w:ascii="Aptos" w:hAnsi="Aptos" w:cs="Arial"/>
        </w:rPr>
      </w:pPr>
      <w:r w:rsidRPr="003633CC">
        <w:rPr>
          <w:rFonts w:ascii="Aptos" w:hAnsi="Aptos" w:cs="Arial"/>
        </w:rPr>
        <w:lastRenderedPageBreak/>
        <w:t xml:space="preserve">Parking location. No more than </w:t>
      </w:r>
      <w:r w:rsidR="00975B56" w:rsidRPr="003633CC">
        <w:rPr>
          <w:rFonts w:ascii="Aptos" w:hAnsi="Aptos" w:cs="Arial"/>
        </w:rPr>
        <w:t>[</w:t>
      </w:r>
      <w:r w:rsidR="00CA1C14" w:rsidRPr="003633CC">
        <w:rPr>
          <w:rFonts w:ascii="Aptos" w:hAnsi="Aptos" w:cs="Arial"/>
        </w:rPr>
        <w:t>INSERT PERCENTAGE]</w:t>
      </w:r>
      <w:r w:rsidRPr="003633CC">
        <w:rPr>
          <w:rFonts w:ascii="Aptos" w:hAnsi="Aptos" w:cs="Arial"/>
        </w:rPr>
        <w:t xml:space="preserve"> of total parking spaces serving the development may be located between the principal building and the </w:t>
      </w:r>
      <w:r w:rsidR="00975B56" w:rsidRPr="003633CC">
        <w:rPr>
          <w:rFonts w:ascii="Aptos" w:hAnsi="Aptos" w:cs="Arial"/>
        </w:rPr>
        <w:t xml:space="preserve">primary frontage </w:t>
      </w:r>
      <w:r w:rsidRPr="003633CC">
        <w:rPr>
          <w:rFonts w:ascii="Aptos" w:hAnsi="Aptos" w:cs="Arial"/>
        </w:rPr>
        <w:t>street line.</w:t>
      </w:r>
    </w:p>
    <w:p w14:paraId="6DA8AE32" w14:textId="77777777" w:rsidR="00EF5EAE" w:rsidRPr="003633CC" w:rsidRDefault="00EF5EAE" w:rsidP="00CA1C14">
      <w:pPr>
        <w:numPr>
          <w:ilvl w:val="0"/>
          <w:numId w:val="6"/>
        </w:numPr>
        <w:tabs>
          <w:tab w:val="clear" w:pos="720"/>
          <w:tab w:val="num" w:pos="1800"/>
        </w:tabs>
        <w:spacing w:before="200" w:after="200"/>
        <w:ind w:left="1800"/>
        <w:jc w:val="both"/>
        <w:rPr>
          <w:rFonts w:ascii="Aptos" w:hAnsi="Aptos" w:cs="Arial"/>
        </w:rPr>
      </w:pPr>
      <w:r w:rsidRPr="003633CC">
        <w:rPr>
          <w:rFonts w:ascii="Aptos" w:hAnsi="Aptos" w:cs="Arial"/>
        </w:rPr>
        <w:t>Parking maximums. Off-street parking shall not exceed:</w:t>
      </w:r>
    </w:p>
    <w:p w14:paraId="1F75725E" w14:textId="77777777" w:rsidR="00CA1C14" w:rsidRPr="003633CC" w:rsidRDefault="00EF5EAE" w:rsidP="00CA1C14">
      <w:pPr>
        <w:pStyle w:val="ListParagraph"/>
        <w:numPr>
          <w:ilvl w:val="0"/>
          <w:numId w:val="17"/>
        </w:numPr>
        <w:spacing w:before="200" w:after="200"/>
        <w:ind w:left="2520"/>
        <w:jc w:val="both"/>
        <w:rPr>
          <w:rFonts w:ascii="Aptos" w:hAnsi="Aptos" w:cs="Arial"/>
        </w:rPr>
      </w:pPr>
      <w:r w:rsidRPr="003633CC">
        <w:rPr>
          <w:rFonts w:ascii="Aptos" w:hAnsi="Aptos" w:cs="Arial"/>
        </w:rPr>
        <w:t xml:space="preserve">Residential: </w:t>
      </w:r>
      <w:r w:rsidR="00CA1C14" w:rsidRPr="003633CC">
        <w:rPr>
          <w:rFonts w:ascii="Aptos" w:hAnsi="Aptos" w:cs="Arial"/>
        </w:rPr>
        <w:t xml:space="preserve">[INSERT NUMBER] </w:t>
      </w:r>
      <w:r w:rsidRPr="003633CC">
        <w:rPr>
          <w:rFonts w:ascii="Aptos" w:hAnsi="Aptos" w:cs="Arial"/>
        </w:rPr>
        <w:t>space</w:t>
      </w:r>
      <w:r w:rsidR="00CA1C14" w:rsidRPr="003633CC">
        <w:rPr>
          <w:rFonts w:ascii="Aptos" w:hAnsi="Aptos" w:cs="Arial"/>
        </w:rPr>
        <w:t>(s)</w:t>
      </w:r>
      <w:r w:rsidRPr="003633CC">
        <w:rPr>
          <w:rFonts w:ascii="Aptos" w:hAnsi="Aptos" w:cs="Arial"/>
        </w:rPr>
        <w:t xml:space="preserve"> per dwelling unit; and</w:t>
      </w:r>
    </w:p>
    <w:p w14:paraId="6F05347E" w14:textId="77777777" w:rsidR="00CA1C14" w:rsidRPr="003633CC" w:rsidRDefault="00EF5EAE" w:rsidP="00CA1C14">
      <w:pPr>
        <w:pStyle w:val="ListParagraph"/>
        <w:numPr>
          <w:ilvl w:val="0"/>
          <w:numId w:val="17"/>
        </w:numPr>
        <w:spacing w:before="200" w:after="200"/>
        <w:ind w:left="2520"/>
        <w:jc w:val="both"/>
        <w:rPr>
          <w:rFonts w:ascii="Aptos" w:hAnsi="Aptos" w:cs="Arial"/>
        </w:rPr>
      </w:pPr>
      <w:r w:rsidRPr="003633CC">
        <w:rPr>
          <w:rFonts w:ascii="Aptos" w:hAnsi="Aptos" w:cs="Arial"/>
        </w:rPr>
        <w:t xml:space="preserve">Nonresidential: </w:t>
      </w:r>
      <w:r w:rsidR="00CA1C14" w:rsidRPr="003633CC">
        <w:rPr>
          <w:rFonts w:ascii="Aptos" w:hAnsi="Aptos" w:cs="Arial"/>
        </w:rPr>
        <w:t xml:space="preserve">[INSERT NUMBER] </w:t>
      </w:r>
      <w:r w:rsidRPr="003633CC">
        <w:rPr>
          <w:rFonts w:ascii="Aptos" w:hAnsi="Aptos" w:cs="Arial"/>
        </w:rPr>
        <w:t xml:space="preserve">spaces per </w:t>
      </w:r>
      <w:r w:rsidR="00CA1C14" w:rsidRPr="003633CC">
        <w:rPr>
          <w:rFonts w:ascii="Aptos" w:hAnsi="Aptos" w:cs="Arial"/>
        </w:rPr>
        <w:t xml:space="preserve">[INSERT NUMBER] </w:t>
      </w:r>
      <w:r w:rsidRPr="003633CC">
        <w:rPr>
          <w:rFonts w:ascii="Aptos" w:hAnsi="Aptos" w:cs="Arial"/>
        </w:rPr>
        <w:t>square feet of nonresidential gross floor area.</w:t>
      </w:r>
    </w:p>
    <w:p w14:paraId="64D66B50" w14:textId="69E65D44" w:rsidR="00CA1C14" w:rsidRPr="003633CC" w:rsidRDefault="00EF5EAE" w:rsidP="00CA1C14">
      <w:pPr>
        <w:pStyle w:val="ListParagraph"/>
        <w:numPr>
          <w:ilvl w:val="0"/>
          <w:numId w:val="17"/>
        </w:numPr>
        <w:spacing w:before="200" w:after="200"/>
        <w:ind w:left="2520"/>
        <w:jc w:val="both"/>
        <w:rPr>
          <w:rFonts w:ascii="Aptos" w:hAnsi="Aptos" w:cs="Arial"/>
        </w:rPr>
      </w:pPr>
      <w:r w:rsidRPr="003633CC">
        <w:rPr>
          <w:rFonts w:ascii="Aptos" w:hAnsi="Aptos" w:cs="Arial"/>
        </w:rPr>
        <w:t xml:space="preserve">Shared parking reduction. Where parking serves both residential and nonresidential uses, the total provided parking may be reduced by </w:t>
      </w:r>
      <w:r w:rsidR="00975B56" w:rsidRPr="003633CC">
        <w:rPr>
          <w:rFonts w:ascii="Aptos" w:hAnsi="Aptos" w:cs="Arial"/>
        </w:rPr>
        <w:t>[</w:t>
      </w:r>
      <w:r w:rsidR="00CA1C14" w:rsidRPr="003633CC">
        <w:rPr>
          <w:rFonts w:ascii="Aptos" w:hAnsi="Aptos" w:cs="Arial"/>
        </w:rPr>
        <w:t>INSERT PERCENTAGE]</w:t>
      </w:r>
      <w:r w:rsidRPr="003633CC">
        <w:rPr>
          <w:rFonts w:ascii="Aptos" w:hAnsi="Aptos" w:cs="Arial"/>
        </w:rPr>
        <w:t xml:space="preserve"> provided the applicant records a shared-parking plan identifying spaces available to both uses.</w:t>
      </w:r>
    </w:p>
    <w:p w14:paraId="03D2FFA5" w14:textId="14F0616E" w:rsidR="00EF5EAE" w:rsidRPr="003633CC" w:rsidRDefault="00CA1C14" w:rsidP="00CA1C14">
      <w:pPr>
        <w:spacing w:before="200" w:after="200"/>
        <w:jc w:val="both"/>
        <w:rPr>
          <w:rFonts w:ascii="Aptos" w:hAnsi="Aptos" w:cs="Arial"/>
          <w:b/>
          <w:bCs/>
        </w:rPr>
      </w:pPr>
      <w:r w:rsidRPr="003633CC">
        <w:rPr>
          <w:rFonts w:ascii="Aptos" w:hAnsi="Aptos" w:cs="Arial"/>
          <w:b/>
          <w:bCs/>
        </w:rPr>
        <w:t>EXAMPLE B</w:t>
      </w:r>
      <w:r w:rsidR="00EF5EAE" w:rsidRPr="003633CC">
        <w:rPr>
          <w:rFonts w:ascii="Aptos" w:hAnsi="Aptos" w:cs="Arial"/>
          <w:b/>
          <w:bCs/>
        </w:rPr>
        <w:t xml:space="preserve"> — Auto-Oriented Commercial Corridors</w:t>
      </w:r>
    </w:p>
    <w:p w14:paraId="50A60960" w14:textId="4A4FDFAA" w:rsidR="00EF5EAE" w:rsidRPr="003633CC" w:rsidRDefault="00EF5EAE" w:rsidP="00CA1C14">
      <w:pPr>
        <w:pStyle w:val="ListParagraph"/>
        <w:numPr>
          <w:ilvl w:val="0"/>
          <w:numId w:val="18"/>
        </w:numPr>
        <w:spacing w:before="200" w:after="200"/>
        <w:jc w:val="both"/>
        <w:rPr>
          <w:rFonts w:ascii="Aptos" w:hAnsi="Aptos" w:cs="Arial"/>
        </w:rPr>
      </w:pPr>
      <w:r w:rsidRPr="003633CC">
        <w:rPr>
          <w:rFonts w:ascii="Aptos" w:hAnsi="Aptos" w:cs="Arial"/>
        </w:rPr>
        <w:t>Integration of residential and commercial uses</w:t>
      </w:r>
    </w:p>
    <w:p w14:paraId="0CC276B4" w14:textId="77777777" w:rsidR="00EF5EAE" w:rsidRPr="003633CC" w:rsidRDefault="00EF5EAE" w:rsidP="00CA1C14">
      <w:pPr>
        <w:numPr>
          <w:ilvl w:val="0"/>
          <w:numId w:val="7"/>
        </w:numPr>
        <w:tabs>
          <w:tab w:val="clear" w:pos="720"/>
          <w:tab w:val="num" w:pos="2070"/>
        </w:tabs>
        <w:spacing w:before="200" w:after="200"/>
        <w:ind w:left="1800"/>
        <w:jc w:val="both"/>
        <w:rPr>
          <w:rFonts w:ascii="Aptos" w:hAnsi="Aptos" w:cs="Arial"/>
        </w:rPr>
      </w:pPr>
      <w:r w:rsidRPr="003633CC">
        <w:rPr>
          <w:rFonts w:ascii="Aptos" w:hAnsi="Aptos" w:cs="Arial"/>
        </w:rPr>
        <w:t>Minimum nonresidential floor area (mixed-use buildings). Each mixed-use building shall include at least five thousand (5,000) square feet of ground-floor nonresidential floor area, or at least twenty-five percent (25%) of the building’s ground-floor gross floor area (whichever is less).</w:t>
      </w:r>
    </w:p>
    <w:p w14:paraId="1B508E2A" w14:textId="77777777" w:rsidR="00EF5EAE" w:rsidRPr="003633CC" w:rsidRDefault="00EF5EAE" w:rsidP="00CA1C14">
      <w:pPr>
        <w:numPr>
          <w:ilvl w:val="0"/>
          <w:numId w:val="7"/>
        </w:numPr>
        <w:tabs>
          <w:tab w:val="clear" w:pos="720"/>
          <w:tab w:val="num" w:pos="2250"/>
        </w:tabs>
        <w:spacing w:before="200" w:after="200"/>
        <w:ind w:left="1800"/>
        <w:jc w:val="both"/>
        <w:rPr>
          <w:rFonts w:ascii="Aptos" w:hAnsi="Aptos" w:cs="Arial"/>
        </w:rPr>
      </w:pPr>
      <w:r w:rsidRPr="003633CC">
        <w:rPr>
          <w:rFonts w:ascii="Aptos" w:hAnsi="Aptos" w:cs="Arial"/>
        </w:rPr>
        <w:t>Active entrance orientation. For buildings fronting an Arterial Corridor, each principal building shall provide at least one (1) public entrance oriented toward the Arterial Corridor. An entrance oriented to a plaza or pedestrian way connecting to the corridor sidewalk shall satisfy this requirement.</w:t>
      </w:r>
    </w:p>
    <w:p w14:paraId="022B92F9" w14:textId="77777777" w:rsidR="00CA1C14" w:rsidRPr="003633CC" w:rsidRDefault="00EF5EAE" w:rsidP="00CA1C14">
      <w:pPr>
        <w:numPr>
          <w:ilvl w:val="0"/>
          <w:numId w:val="7"/>
        </w:numPr>
        <w:tabs>
          <w:tab w:val="clear" w:pos="720"/>
          <w:tab w:val="num" w:pos="2250"/>
        </w:tabs>
        <w:spacing w:before="200" w:after="200"/>
        <w:ind w:left="1800"/>
        <w:jc w:val="both"/>
        <w:rPr>
          <w:rFonts w:ascii="Aptos" w:hAnsi="Aptos" w:cs="Arial"/>
        </w:rPr>
      </w:pPr>
      <w:r w:rsidRPr="003633CC">
        <w:rPr>
          <w:rFonts w:ascii="Aptos" w:hAnsi="Aptos" w:cs="Arial"/>
        </w:rPr>
        <w:t>Parking lot screening (where parking is between building and corridor). Where parking is located between the building and the Arterial Corridor right-of-way line, provide:</w:t>
      </w:r>
    </w:p>
    <w:p w14:paraId="3210A236" w14:textId="77777777" w:rsidR="00CA1C14" w:rsidRPr="003633CC" w:rsidRDefault="00EF5EAE" w:rsidP="00CA1C14">
      <w:pPr>
        <w:numPr>
          <w:ilvl w:val="2"/>
          <w:numId w:val="7"/>
        </w:numPr>
        <w:spacing w:before="200" w:after="200"/>
        <w:ind w:left="2520"/>
        <w:jc w:val="both"/>
        <w:rPr>
          <w:rFonts w:ascii="Aptos" w:hAnsi="Aptos" w:cs="Arial"/>
        </w:rPr>
      </w:pPr>
      <w:r w:rsidRPr="003633CC">
        <w:rPr>
          <w:rFonts w:ascii="Aptos" w:hAnsi="Aptos" w:cs="Arial"/>
        </w:rPr>
        <w:t>a continuous landscaped strip at least eight (8) feet deep along the street lot line; and</w:t>
      </w:r>
    </w:p>
    <w:p w14:paraId="39552AEF" w14:textId="50ED1377" w:rsidR="00EF5EAE" w:rsidRPr="003633CC" w:rsidRDefault="00EF5EAE" w:rsidP="00CA1C14">
      <w:pPr>
        <w:numPr>
          <w:ilvl w:val="2"/>
          <w:numId w:val="7"/>
        </w:numPr>
        <w:spacing w:before="200" w:after="200"/>
        <w:ind w:left="2520"/>
        <w:jc w:val="both"/>
        <w:rPr>
          <w:rFonts w:ascii="Aptos" w:hAnsi="Aptos" w:cs="Arial"/>
        </w:rPr>
      </w:pPr>
      <w:r w:rsidRPr="003633CC">
        <w:rPr>
          <w:rFonts w:ascii="Aptos" w:hAnsi="Aptos" w:cs="Arial"/>
        </w:rPr>
        <w:t>either (a) a wall or fence between thirty (30) and forty-two (42) inches in height, or (b) shrubs achieving a minimum height of thirty-six (36) inches within two (2) growing seasons.</w:t>
      </w:r>
    </w:p>
    <w:p w14:paraId="135CE40D" w14:textId="3B656FBB" w:rsidR="00EF5EAE" w:rsidRPr="003633CC" w:rsidRDefault="00EF5EAE" w:rsidP="00CA1C14">
      <w:pPr>
        <w:pStyle w:val="ListParagraph"/>
        <w:numPr>
          <w:ilvl w:val="0"/>
          <w:numId w:val="18"/>
        </w:numPr>
        <w:spacing w:before="200" w:after="200"/>
        <w:jc w:val="both"/>
        <w:rPr>
          <w:rFonts w:ascii="Aptos" w:hAnsi="Aptos" w:cs="Arial"/>
        </w:rPr>
      </w:pPr>
      <w:r w:rsidRPr="003633CC">
        <w:rPr>
          <w:rFonts w:ascii="Aptos" w:hAnsi="Aptos" w:cs="Arial"/>
        </w:rPr>
        <w:t>Residential above ground/first-floor commercial</w:t>
      </w:r>
    </w:p>
    <w:p w14:paraId="6DA5764D" w14:textId="77777777" w:rsidR="00EF5EAE" w:rsidRPr="003633CC" w:rsidRDefault="00EF5EAE" w:rsidP="00CA1C14">
      <w:pPr>
        <w:numPr>
          <w:ilvl w:val="0"/>
          <w:numId w:val="8"/>
        </w:numPr>
        <w:tabs>
          <w:tab w:val="clear" w:pos="720"/>
          <w:tab w:val="num" w:pos="1890"/>
        </w:tabs>
        <w:spacing w:before="200" w:after="200"/>
        <w:ind w:left="1800"/>
        <w:jc w:val="both"/>
        <w:rPr>
          <w:rFonts w:ascii="Aptos" w:hAnsi="Aptos" w:cs="Arial"/>
        </w:rPr>
      </w:pPr>
      <w:r w:rsidRPr="003633CC">
        <w:rPr>
          <w:rFonts w:ascii="Aptos" w:hAnsi="Aptos" w:cs="Arial"/>
        </w:rPr>
        <w:t>Upper-floor residential permitted. Residential units are permitted above ground-floor/first-floor commercial uses in mixed-use buildings.</w:t>
      </w:r>
    </w:p>
    <w:p w14:paraId="6B070218" w14:textId="77777777" w:rsidR="00CA1C14" w:rsidRPr="003633CC" w:rsidRDefault="00EF5EAE" w:rsidP="00CA1C14">
      <w:pPr>
        <w:numPr>
          <w:ilvl w:val="0"/>
          <w:numId w:val="8"/>
        </w:numPr>
        <w:tabs>
          <w:tab w:val="clear" w:pos="720"/>
          <w:tab w:val="num" w:pos="1890"/>
        </w:tabs>
        <w:spacing w:before="200" w:after="200"/>
        <w:ind w:left="1800"/>
        <w:jc w:val="both"/>
        <w:rPr>
          <w:rFonts w:ascii="Aptos" w:hAnsi="Aptos" w:cs="Arial"/>
        </w:rPr>
      </w:pPr>
      <w:r w:rsidRPr="003633CC">
        <w:rPr>
          <w:rFonts w:ascii="Aptos" w:hAnsi="Aptos" w:cs="Arial"/>
        </w:rPr>
        <w:t>Optional condition for corridor format (if adopted). Ground-floor residential is permitted only where the building is set back more than fifty (50) feet from the Arterial Corridor right-of-way line or where the residential portion is located behind a principal commercial building.</w:t>
      </w:r>
    </w:p>
    <w:p w14:paraId="7FB84EEC" w14:textId="06E847C3" w:rsidR="00EF5EAE" w:rsidRPr="003633CC" w:rsidRDefault="00EF5EAE" w:rsidP="00CA1C14">
      <w:pPr>
        <w:spacing w:before="200" w:after="200"/>
        <w:ind w:left="1800"/>
        <w:jc w:val="both"/>
        <w:rPr>
          <w:rFonts w:ascii="Aptos" w:hAnsi="Aptos" w:cs="Arial"/>
        </w:rPr>
      </w:pPr>
      <w:r w:rsidRPr="003633CC">
        <w:rPr>
          <w:rFonts w:ascii="Aptos" w:hAnsi="Aptos" w:cs="Arial"/>
          <w:i/>
          <w:iCs/>
        </w:rPr>
        <w:lastRenderedPageBreak/>
        <w:t>(Delete this subsection if the municipality wishes to allow ground-floor residential freely.)</w:t>
      </w:r>
    </w:p>
    <w:p w14:paraId="5CB8A3C0" w14:textId="4BD6439E" w:rsidR="00EF5EAE" w:rsidRPr="003633CC" w:rsidRDefault="00EF5EAE" w:rsidP="00CA1C14">
      <w:pPr>
        <w:pStyle w:val="ListParagraph"/>
        <w:numPr>
          <w:ilvl w:val="0"/>
          <w:numId w:val="18"/>
        </w:numPr>
        <w:spacing w:before="200" w:after="200"/>
        <w:jc w:val="both"/>
        <w:rPr>
          <w:rFonts w:ascii="Aptos" w:hAnsi="Aptos" w:cs="Arial"/>
        </w:rPr>
      </w:pPr>
      <w:r w:rsidRPr="003633CC">
        <w:rPr>
          <w:rFonts w:ascii="Aptos" w:hAnsi="Aptos" w:cs="Arial"/>
        </w:rPr>
        <w:t>Medium- to high-density residential allowance</w:t>
      </w:r>
    </w:p>
    <w:p w14:paraId="326EEBDF" w14:textId="77777777" w:rsidR="00EF5EAE" w:rsidRPr="003633CC" w:rsidRDefault="00EF5EAE" w:rsidP="00CA1C14">
      <w:pPr>
        <w:numPr>
          <w:ilvl w:val="0"/>
          <w:numId w:val="9"/>
        </w:numPr>
        <w:tabs>
          <w:tab w:val="clear" w:pos="720"/>
          <w:tab w:val="num" w:pos="1800"/>
        </w:tabs>
        <w:spacing w:before="200" w:after="200"/>
        <w:ind w:left="1800"/>
        <w:jc w:val="both"/>
        <w:rPr>
          <w:rFonts w:ascii="Aptos" w:hAnsi="Aptos" w:cs="Arial"/>
        </w:rPr>
      </w:pPr>
      <w:r w:rsidRPr="003633CC">
        <w:rPr>
          <w:rFonts w:ascii="Aptos" w:hAnsi="Aptos" w:cs="Arial"/>
        </w:rPr>
        <w:t>Density range. Residential development is permitted between eighteen (18) and forty (40) dwelling units per acre where residential is allowed under the district/overlay regulations.</w:t>
      </w:r>
    </w:p>
    <w:p w14:paraId="645B8BCC" w14:textId="77777777" w:rsidR="00EF5EAE" w:rsidRPr="003633CC" w:rsidRDefault="00EF5EAE" w:rsidP="00CA1C14">
      <w:pPr>
        <w:numPr>
          <w:ilvl w:val="0"/>
          <w:numId w:val="9"/>
        </w:numPr>
        <w:tabs>
          <w:tab w:val="clear" w:pos="720"/>
          <w:tab w:val="num" w:pos="1800"/>
        </w:tabs>
        <w:spacing w:before="200" w:after="200"/>
        <w:ind w:left="1800"/>
        <w:jc w:val="both"/>
        <w:rPr>
          <w:rFonts w:ascii="Aptos" w:hAnsi="Aptos" w:cs="Arial"/>
        </w:rPr>
      </w:pPr>
      <w:r w:rsidRPr="003633CC">
        <w:rPr>
          <w:rFonts w:ascii="Aptos" w:hAnsi="Aptos" w:cs="Arial"/>
        </w:rPr>
        <w:t>Density not reduced by parking standards. Parking requirements shall not be applied in a manner that reduces allowable residential density below eighteen (18) dwelling units per acre.</w:t>
      </w:r>
    </w:p>
    <w:p w14:paraId="270EFD62" w14:textId="326E2F61" w:rsidR="00EF5EAE" w:rsidRPr="003633CC" w:rsidRDefault="00EF5EAE" w:rsidP="00CA1C14">
      <w:pPr>
        <w:pStyle w:val="ListParagraph"/>
        <w:numPr>
          <w:ilvl w:val="0"/>
          <w:numId w:val="18"/>
        </w:numPr>
        <w:spacing w:before="200" w:after="200"/>
        <w:jc w:val="both"/>
        <w:rPr>
          <w:rFonts w:ascii="Aptos" w:hAnsi="Aptos" w:cs="Arial"/>
        </w:rPr>
      </w:pPr>
      <w:r w:rsidRPr="003633CC">
        <w:rPr>
          <w:rFonts w:ascii="Aptos" w:hAnsi="Aptos" w:cs="Arial"/>
        </w:rPr>
        <w:t>Flexible and reasonable dimensional standards</w:t>
      </w:r>
    </w:p>
    <w:p w14:paraId="051B5E24" w14:textId="77777777" w:rsidR="00EF5EAE" w:rsidRPr="003633CC" w:rsidRDefault="00EF5EAE" w:rsidP="00CA1C14">
      <w:pPr>
        <w:numPr>
          <w:ilvl w:val="0"/>
          <w:numId w:val="10"/>
        </w:numPr>
        <w:tabs>
          <w:tab w:val="clear" w:pos="720"/>
          <w:tab w:val="num" w:pos="1980"/>
        </w:tabs>
        <w:spacing w:before="200" w:after="200"/>
        <w:ind w:left="1800"/>
        <w:jc w:val="both"/>
        <w:rPr>
          <w:rFonts w:ascii="Aptos" w:hAnsi="Aptos" w:cs="Arial"/>
        </w:rPr>
      </w:pPr>
      <w:r w:rsidRPr="003633CC">
        <w:rPr>
          <w:rFonts w:ascii="Aptos" w:hAnsi="Aptos" w:cs="Arial"/>
        </w:rPr>
        <w:t>Setback ranges.</w:t>
      </w:r>
    </w:p>
    <w:p w14:paraId="05F72DC6" w14:textId="77777777" w:rsidR="00EF5EAE" w:rsidRPr="003633CC" w:rsidRDefault="00EF5EAE" w:rsidP="00CA1C14">
      <w:pPr>
        <w:numPr>
          <w:ilvl w:val="1"/>
          <w:numId w:val="19"/>
        </w:numPr>
        <w:spacing w:before="200" w:after="200"/>
        <w:ind w:left="2520"/>
        <w:jc w:val="both"/>
        <w:rPr>
          <w:rFonts w:ascii="Aptos" w:hAnsi="Aptos" w:cs="Arial"/>
        </w:rPr>
      </w:pPr>
      <w:r w:rsidRPr="003633CC">
        <w:rPr>
          <w:rFonts w:ascii="Aptos" w:hAnsi="Aptos" w:cs="Arial"/>
        </w:rPr>
        <w:t xml:space="preserve">Front setback: twenty (20) to eighty (80) </w:t>
      </w:r>
      <w:proofErr w:type="gramStart"/>
      <w:r w:rsidRPr="003633CC">
        <w:rPr>
          <w:rFonts w:ascii="Aptos" w:hAnsi="Aptos" w:cs="Arial"/>
        </w:rPr>
        <w:t>feet;</w:t>
      </w:r>
      <w:proofErr w:type="gramEnd"/>
    </w:p>
    <w:p w14:paraId="76A3BC39" w14:textId="77777777" w:rsidR="00EF5EAE" w:rsidRPr="003633CC" w:rsidRDefault="00EF5EAE" w:rsidP="00CA1C14">
      <w:pPr>
        <w:numPr>
          <w:ilvl w:val="1"/>
          <w:numId w:val="19"/>
        </w:numPr>
        <w:spacing w:before="200" w:after="200"/>
        <w:ind w:left="2520"/>
        <w:jc w:val="both"/>
        <w:rPr>
          <w:rFonts w:ascii="Aptos" w:hAnsi="Aptos" w:cs="Arial"/>
        </w:rPr>
      </w:pPr>
      <w:r w:rsidRPr="003633CC">
        <w:rPr>
          <w:rFonts w:ascii="Aptos" w:hAnsi="Aptos" w:cs="Arial"/>
        </w:rPr>
        <w:t>Side setback: ten (10) to thirty (30) feet; and</w:t>
      </w:r>
    </w:p>
    <w:p w14:paraId="0278D8DD" w14:textId="77777777" w:rsidR="00EF5EAE" w:rsidRPr="003633CC" w:rsidRDefault="00EF5EAE" w:rsidP="00CA1C14">
      <w:pPr>
        <w:numPr>
          <w:ilvl w:val="1"/>
          <w:numId w:val="19"/>
        </w:numPr>
        <w:spacing w:before="200" w:after="200"/>
        <w:ind w:left="2520"/>
        <w:jc w:val="both"/>
        <w:rPr>
          <w:rFonts w:ascii="Aptos" w:hAnsi="Aptos" w:cs="Arial"/>
        </w:rPr>
      </w:pPr>
      <w:r w:rsidRPr="003633CC">
        <w:rPr>
          <w:rFonts w:ascii="Aptos" w:hAnsi="Aptos" w:cs="Arial"/>
        </w:rPr>
        <w:t>Rear setback: twenty (20) to fifty (50) feet.</w:t>
      </w:r>
    </w:p>
    <w:p w14:paraId="71243707" w14:textId="77777777" w:rsidR="00EF5EAE" w:rsidRPr="003633CC" w:rsidRDefault="00EF5EAE" w:rsidP="00CA1C14">
      <w:pPr>
        <w:numPr>
          <w:ilvl w:val="0"/>
          <w:numId w:val="10"/>
        </w:numPr>
        <w:tabs>
          <w:tab w:val="clear" w:pos="720"/>
        </w:tabs>
        <w:spacing w:before="200" w:after="200"/>
        <w:ind w:left="1800"/>
        <w:jc w:val="both"/>
        <w:rPr>
          <w:rFonts w:ascii="Aptos" w:hAnsi="Aptos" w:cs="Arial"/>
        </w:rPr>
      </w:pPr>
      <w:r w:rsidRPr="003633CC">
        <w:rPr>
          <w:rFonts w:ascii="Aptos" w:hAnsi="Aptos" w:cs="Arial"/>
        </w:rPr>
        <w:t>Height. Maximum height is five (5) stories and sixty-five (65) feet.</w:t>
      </w:r>
    </w:p>
    <w:p w14:paraId="155FEFD9" w14:textId="77777777" w:rsidR="00EF5EAE" w:rsidRPr="003633CC" w:rsidRDefault="00EF5EAE" w:rsidP="00CA1C14">
      <w:pPr>
        <w:numPr>
          <w:ilvl w:val="0"/>
          <w:numId w:val="10"/>
        </w:numPr>
        <w:tabs>
          <w:tab w:val="clear" w:pos="720"/>
        </w:tabs>
        <w:spacing w:before="200" w:after="200"/>
        <w:ind w:left="1800"/>
        <w:jc w:val="both"/>
        <w:rPr>
          <w:rFonts w:ascii="Aptos" w:hAnsi="Aptos" w:cs="Arial"/>
        </w:rPr>
      </w:pPr>
      <w:r w:rsidRPr="003633CC">
        <w:rPr>
          <w:rFonts w:ascii="Aptos" w:hAnsi="Aptos" w:cs="Arial"/>
        </w:rPr>
        <w:t>Parking maximums. Off-street parking shall not exceed:</w:t>
      </w:r>
    </w:p>
    <w:p w14:paraId="1C811C65" w14:textId="77777777" w:rsidR="00EF5EAE" w:rsidRPr="003633CC" w:rsidRDefault="00EF5EAE" w:rsidP="00CA1C14">
      <w:pPr>
        <w:numPr>
          <w:ilvl w:val="1"/>
          <w:numId w:val="20"/>
        </w:numPr>
        <w:spacing w:before="200" w:after="200"/>
        <w:ind w:left="2520"/>
        <w:jc w:val="both"/>
        <w:rPr>
          <w:rFonts w:ascii="Aptos" w:hAnsi="Aptos" w:cs="Arial"/>
        </w:rPr>
      </w:pPr>
      <w:r w:rsidRPr="003633CC">
        <w:rPr>
          <w:rFonts w:ascii="Aptos" w:hAnsi="Aptos" w:cs="Arial"/>
        </w:rPr>
        <w:t>Residential: one and five-tenths (1.5) spaces per dwelling unit; and</w:t>
      </w:r>
    </w:p>
    <w:p w14:paraId="202B09E3" w14:textId="77777777" w:rsidR="00EF5EAE" w:rsidRPr="003633CC" w:rsidRDefault="00EF5EAE" w:rsidP="00CA1C14">
      <w:pPr>
        <w:numPr>
          <w:ilvl w:val="1"/>
          <w:numId w:val="20"/>
        </w:numPr>
        <w:spacing w:before="200" w:after="200"/>
        <w:ind w:left="2520"/>
        <w:jc w:val="both"/>
        <w:rPr>
          <w:rFonts w:ascii="Aptos" w:hAnsi="Aptos" w:cs="Arial"/>
        </w:rPr>
      </w:pPr>
      <w:r w:rsidRPr="003633CC">
        <w:rPr>
          <w:rFonts w:ascii="Aptos" w:hAnsi="Aptos" w:cs="Arial"/>
        </w:rPr>
        <w:t>Nonresidential: four and zero-tenths (4.0) spaces per 1,000 square feet of nonresidential gross floor area.</w:t>
      </w:r>
    </w:p>
    <w:p w14:paraId="2E270FF9" w14:textId="77777777" w:rsidR="00EF5EAE" w:rsidRPr="003633CC" w:rsidRDefault="00EF5EAE" w:rsidP="00CA1C14">
      <w:pPr>
        <w:numPr>
          <w:ilvl w:val="0"/>
          <w:numId w:val="10"/>
        </w:numPr>
        <w:tabs>
          <w:tab w:val="clear" w:pos="720"/>
        </w:tabs>
        <w:spacing w:before="200" w:after="200"/>
        <w:ind w:left="1800"/>
        <w:jc w:val="both"/>
        <w:rPr>
          <w:rFonts w:ascii="Aptos" w:hAnsi="Aptos" w:cs="Arial"/>
        </w:rPr>
      </w:pPr>
      <w:r w:rsidRPr="003633CC">
        <w:rPr>
          <w:rFonts w:ascii="Aptos" w:hAnsi="Aptos" w:cs="Arial"/>
        </w:rPr>
        <w:t>Shared parking reduction. Where parking serves both residential and nonresidential uses, the total provided parking may be reduced by fifteen percent (15%), provided the applicant records a shared-parking plan identifying spaces available to both uses.</w:t>
      </w:r>
    </w:p>
    <w:p w14:paraId="39F3C8E0" w14:textId="67EB6AAB" w:rsidR="00A87214" w:rsidRPr="003633CC" w:rsidRDefault="00EF5EAE" w:rsidP="00CA1C14">
      <w:pPr>
        <w:numPr>
          <w:ilvl w:val="0"/>
          <w:numId w:val="10"/>
        </w:numPr>
        <w:tabs>
          <w:tab w:val="clear" w:pos="720"/>
        </w:tabs>
        <w:spacing w:before="200" w:after="200"/>
        <w:ind w:left="1800"/>
        <w:jc w:val="both"/>
        <w:rPr>
          <w:rFonts w:ascii="Aptos" w:hAnsi="Aptos" w:cs="Arial"/>
        </w:rPr>
      </w:pPr>
      <w:r w:rsidRPr="003633CC">
        <w:rPr>
          <w:rFonts w:ascii="Aptos" w:hAnsi="Aptos" w:cs="Arial"/>
        </w:rPr>
        <w:t>Pedestrian connection (where parking is between building and corridor). Where parking is located between the principal building and the Arterial Corridor, provide a pedestrian connection at least six (6) feet wide from the public sidewalk (or an easement for a future sidewalk) to the principal building entrance.</w:t>
      </w:r>
    </w:p>
    <w:sectPr w:rsidR="00A87214" w:rsidRPr="003633CC" w:rsidSect="00360137">
      <w:headerReference w:type="even" r:id="rId8"/>
      <w:headerReference w:type="default" r:id="rId9"/>
      <w:footerReference w:type="even" r:id="rId10"/>
      <w:footerReference w:type="default" r:id="rId11"/>
      <w:headerReference w:type="first" r:id="rId12"/>
      <w:footerReference w:type="first" r:id="rId13"/>
      <w:pgSz w:w="12240" w:h="15840"/>
      <w:pgMar w:top="1710" w:right="1440" w:bottom="99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A58F" w14:textId="77777777" w:rsidR="00904F18" w:rsidRDefault="00904F18">
      <w:pPr>
        <w:spacing w:after="0"/>
      </w:pPr>
      <w:r>
        <w:separator/>
      </w:r>
    </w:p>
  </w:endnote>
  <w:endnote w:type="continuationSeparator" w:id="0">
    <w:p w14:paraId="44A43407" w14:textId="77777777" w:rsidR="00904F18" w:rsidRDefault="00904F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9DEC" w14:textId="77777777" w:rsidR="00744D72" w:rsidRDefault="00744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547E" w14:textId="77777777" w:rsidR="005A5C08" w:rsidRPr="008743D2" w:rsidRDefault="0028562D" w:rsidP="008743D2">
    <w:pPr>
      <w:pStyle w:val="Footer"/>
    </w:pPr>
    <w:r>
      <w:tab/>
    </w:r>
    <w:sdt>
      <w:sdtPr>
        <w:id w:val="360245512"/>
        <w:docPartObj>
          <w:docPartGallery w:val="Page Numbers (Bottom of Page)"/>
          <w:docPartUnique/>
        </w:docPartObj>
      </w:sdtPr>
      <w:sdtEndPr>
        <w:rPr>
          <w:noProof/>
        </w:rPr>
      </w:sdtEndPr>
      <w:sdtContent>
        <w:r w:rsidR="00946FA6" w:rsidRPr="008743D2">
          <w:fldChar w:fldCharType="begin"/>
        </w:r>
        <w:r w:rsidR="00946FA6" w:rsidRPr="008743D2">
          <w:instrText xml:space="preserve"> PAGE   \* MERGEFORMAT </w:instrText>
        </w:r>
        <w:r w:rsidR="00946FA6" w:rsidRPr="008743D2">
          <w:fldChar w:fldCharType="separate"/>
        </w:r>
        <w:r w:rsidR="00946FA6" w:rsidRPr="008743D2">
          <w:rPr>
            <w:noProof/>
          </w:rPr>
          <w:t>2</w:t>
        </w:r>
        <w:r w:rsidR="00946FA6" w:rsidRPr="008743D2">
          <w:rPr>
            <w:noProof/>
          </w:rPr>
          <w:fldChar w:fldCharType="end"/>
        </w:r>
      </w:sdtContent>
    </w:sdt>
  </w:p>
  <w:p w14:paraId="68CD3F76" w14:textId="77777777" w:rsidR="00FC4131" w:rsidRPr="008743D2" w:rsidRDefault="00FC4131" w:rsidP="00FC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E855" w14:textId="77777777" w:rsidR="00FC4131" w:rsidRPr="00FC4131" w:rsidRDefault="0028562D" w:rsidP="00FC4131">
    <w:pPr>
      <w:pStyle w:val="Footer"/>
    </w:pPr>
    <w:r w:rsidRPr="00EB2AAA">
      <w:rPr>
        <w:noProof/>
        <w:sz w:val="12"/>
      </w:rPr>
      <w:t>{6812-00001 Template - Merger.1}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C997" w14:textId="77777777" w:rsidR="00904F18" w:rsidRDefault="00904F18">
      <w:pPr>
        <w:spacing w:after="0"/>
        <w:rPr>
          <w:noProof/>
        </w:rPr>
      </w:pPr>
      <w:r>
        <w:rPr>
          <w:noProof/>
        </w:rPr>
        <w:separator/>
      </w:r>
    </w:p>
  </w:footnote>
  <w:footnote w:type="continuationSeparator" w:id="0">
    <w:p w14:paraId="34BC22D5" w14:textId="77777777" w:rsidR="00904F18" w:rsidRDefault="00904F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D2F2" w14:textId="77777777" w:rsidR="00744D72" w:rsidRDefault="00744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3523" w14:textId="39CC43D2" w:rsidR="00714397" w:rsidRPr="00744D72" w:rsidRDefault="00744D72" w:rsidP="00360137">
    <w:pPr>
      <w:tabs>
        <w:tab w:val="right" w:pos="9360"/>
      </w:tabs>
      <w:spacing w:before="0" w:after="0"/>
      <w:rPr>
        <w:rFonts w:cstheme="minorHAnsi"/>
        <w:b/>
        <w:bCs/>
        <w:sz w:val="20"/>
        <w:szCs w:val="20"/>
      </w:rPr>
    </w:pPr>
    <w:r w:rsidRPr="00744D72">
      <w:rPr>
        <w:rFonts w:ascii="Swis721 Lt BT" w:eastAsia="Times New Roman" w:hAnsi="Swis721 Lt BT"/>
        <w:b/>
        <w:bCs/>
        <w:noProof/>
        <w:sz w:val="26"/>
        <w:szCs w:val="24"/>
      </w:rPr>
      <w:drawing>
        <wp:anchor distT="0" distB="0" distL="114300" distR="114300" simplePos="0" relativeHeight="251659264" behindDoc="0" locked="0" layoutInCell="1" allowOverlap="1" wp14:anchorId="6C52ADD9" wp14:editId="7C028591">
          <wp:simplePos x="0" y="0"/>
          <wp:positionH relativeFrom="column">
            <wp:posOffset>0</wp:posOffset>
          </wp:positionH>
          <wp:positionV relativeFrom="paragraph">
            <wp:posOffset>-276982</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4397" w:rsidRPr="00744D72">
      <w:rPr>
        <w:rFonts w:cstheme="minorHAnsi"/>
        <w:b/>
        <w:bCs/>
        <w:sz w:val="20"/>
        <w:szCs w:val="20"/>
      </w:rPr>
      <w:t>Guidance Document</w:t>
    </w:r>
    <w:r w:rsidR="00CA1C14" w:rsidRPr="00744D72">
      <w:rPr>
        <w:rFonts w:cstheme="minorHAnsi"/>
        <w:b/>
        <w:bCs/>
        <w:sz w:val="20"/>
        <w:szCs w:val="20"/>
      </w:rPr>
      <w:t>/Template</w:t>
    </w:r>
    <w:r w:rsidR="00CA1C14" w:rsidRPr="00744D72">
      <w:rPr>
        <w:rFonts w:cstheme="minorHAnsi"/>
        <w:b/>
        <w:bCs/>
        <w:sz w:val="20"/>
        <w:szCs w:val="20"/>
      </w:rPr>
      <w:tab/>
      <w:t>0</w:t>
    </w:r>
    <w:r w:rsidR="00CD0988" w:rsidRPr="00744D72">
      <w:rPr>
        <w:rFonts w:cstheme="minorHAnsi"/>
        <w:b/>
        <w:bCs/>
        <w:sz w:val="20"/>
        <w:szCs w:val="20"/>
      </w:rPr>
      <w:t>2/09</w:t>
    </w:r>
    <w:r w:rsidR="00CA1C14" w:rsidRPr="00744D72">
      <w:rPr>
        <w:rFonts w:cstheme="minorHAnsi"/>
        <w:b/>
        <w:bCs/>
        <w:sz w:val="20"/>
        <w:szCs w:val="20"/>
      </w:rPr>
      <w:t>/26</w:t>
    </w:r>
  </w:p>
  <w:p w14:paraId="402545E6" w14:textId="77BD5FFD" w:rsidR="00097DE6" w:rsidRPr="00744D72" w:rsidRDefault="0085704C" w:rsidP="00360137">
    <w:pPr>
      <w:tabs>
        <w:tab w:val="right" w:pos="9360"/>
      </w:tabs>
      <w:spacing w:before="0" w:after="0"/>
      <w:rPr>
        <w:rFonts w:cstheme="minorHAnsi"/>
        <w:b/>
        <w:bCs/>
        <w:sz w:val="20"/>
        <w:szCs w:val="20"/>
      </w:rPr>
    </w:pPr>
    <w:r w:rsidRPr="00744D72">
      <w:rPr>
        <w:rFonts w:cstheme="minorHAnsi"/>
        <w:b/>
        <w:bCs/>
        <w:sz w:val="20"/>
        <w:szCs w:val="20"/>
      </w:rPr>
      <w:t>H 5</w:t>
    </w:r>
    <w:r w:rsidR="00107FAE" w:rsidRPr="00744D72">
      <w:rPr>
        <w:rFonts w:cstheme="minorHAnsi"/>
        <w:b/>
        <w:bCs/>
        <w:sz w:val="20"/>
        <w:szCs w:val="20"/>
      </w:rPr>
      <w:t>800</w:t>
    </w:r>
    <w:r w:rsidRPr="00744D72">
      <w:rPr>
        <w:rFonts w:cstheme="minorHAnsi"/>
        <w:b/>
        <w:bCs/>
        <w:sz w:val="20"/>
        <w:szCs w:val="20"/>
      </w:rPr>
      <w:t>A</w:t>
    </w:r>
    <w:r w:rsidR="00097DE6" w:rsidRPr="00744D72">
      <w:rPr>
        <w:rFonts w:cstheme="minorHAnsi"/>
        <w:b/>
        <w:bCs/>
        <w:sz w:val="20"/>
        <w:szCs w:val="20"/>
      </w:rPr>
      <w:t>, S 1090</w:t>
    </w:r>
  </w:p>
  <w:p w14:paraId="31AD8D58" w14:textId="3AC20421" w:rsidR="005E65C7" w:rsidRPr="00714397" w:rsidRDefault="00CA1C14" w:rsidP="00360137">
    <w:pPr>
      <w:tabs>
        <w:tab w:val="right" w:pos="9360"/>
      </w:tabs>
      <w:spacing w:before="0" w:after="0"/>
      <w:rPr>
        <w:rFonts w:cstheme="minorHAnsi"/>
        <w:sz w:val="20"/>
        <w:szCs w:val="20"/>
      </w:rPr>
    </w:pPr>
    <w:r w:rsidRPr="00744D72">
      <w:rPr>
        <w:rFonts w:cstheme="minorHAnsi"/>
        <w:b/>
        <w:bCs/>
        <w:sz w:val="20"/>
        <w:szCs w:val="20"/>
      </w:rPr>
      <w:t>Village Mixed-Use</w:t>
    </w:r>
    <w:r w:rsidR="001813D4" w:rsidRPr="00714397">
      <w:rPr>
        <w:rFonts w:cstheme="minorHAnsi"/>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945C" w14:textId="77777777" w:rsidR="00B528ED" w:rsidRPr="00CF1839" w:rsidRDefault="0028562D" w:rsidP="00B528ED">
    <w:pPr>
      <w:spacing w:after="0"/>
      <w:rPr>
        <w:b/>
        <w:bCs/>
      </w:rPr>
    </w:pPr>
    <w:r>
      <w:rPr>
        <w:b/>
        <w:bCs/>
      </w:rPr>
      <w:t xml:space="preserve">Inclusionary Zoning </w:t>
    </w:r>
    <w:r w:rsidR="00251760">
      <w:rPr>
        <w:b/>
        <w:bCs/>
      </w:rPr>
      <w:t>Regulations</w:t>
    </w:r>
    <w:r w:rsidR="00251760">
      <w:rPr>
        <w:b/>
        <w:bCs/>
      </w:rPr>
      <w:tab/>
    </w:r>
    <w:r w:rsidR="00251760">
      <w:rPr>
        <w:b/>
        <w:bCs/>
      </w:rPr>
      <w:tab/>
    </w:r>
    <w:r w:rsidR="00251760">
      <w:rPr>
        <w:b/>
        <w:bCs/>
      </w:rPr>
      <w:tab/>
    </w:r>
    <w:r w:rsidR="00251760">
      <w:rPr>
        <w:b/>
        <w:bCs/>
      </w:rPr>
      <w:tab/>
      <w:t xml:space="preserve">                            </w:t>
    </w:r>
    <w:r>
      <w:rPr>
        <w:b/>
        <w:bCs/>
      </w:rPr>
      <w:tab/>
    </w:r>
    <w:r>
      <w:rPr>
        <w:b/>
        <w:bCs/>
      </w:rPr>
      <w:tab/>
    </w:r>
    <w:r w:rsidR="00251760">
      <w:rPr>
        <w:b/>
        <w:bCs/>
      </w:rPr>
      <w:t>8/2</w:t>
    </w:r>
    <w:r>
      <w:rPr>
        <w:b/>
        <w:bCs/>
      </w:rPr>
      <w:t>5</w:t>
    </w:r>
    <w:r w:rsidR="00251760">
      <w:rPr>
        <w:b/>
        <w:bCs/>
      </w:rPr>
      <w:t>/23</w:t>
    </w:r>
  </w:p>
  <w:p w14:paraId="7FB08142" w14:textId="77777777" w:rsidR="00B528ED" w:rsidRPr="00C05B99" w:rsidRDefault="00C05B99" w:rsidP="00B528ED">
    <w:pPr>
      <w:spacing w:after="0"/>
      <w:rPr>
        <w:rFonts w:cstheme="minorHAnsi"/>
        <w:b/>
        <w:bCs/>
      </w:rPr>
    </w:pPr>
    <w:hyperlink r:id="rId1" w:history="1">
      <w:r w:rsidRPr="00C05B99">
        <w:rPr>
          <w:rStyle w:val="Hyperlink"/>
          <w:rFonts w:eastAsia="Swis721 Lt BT" w:cstheme="minorHAnsi"/>
          <w:sz w:val="20"/>
          <w:szCs w:val="20"/>
        </w:rPr>
        <w:t>H 6058 Substitute A</w:t>
      </w:r>
    </w:hyperlink>
    <w:r w:rsidR="003D420A" w:rsidRPr="00C05B99">
      <w:rPr>
        <w:rFonts w:cstheme="minorHAnsi"/>
        <w:b/>
        <w:bCs/>
      </w:rPr>
      <w:t xml:space="preserve">, </w:t>
    </w:r>
    <w:hyperlink r:id="rId2" w:history="1">
      <w:r w:rsidRPr="00C05B99">
        <w:rPr>
          <w:rStyle w:val="Hyperlink"/>
          <w:rFonts w:eastAsia="Swis721 Lt BT" w:cstheme="minorHAnsi"/>
          <w:sz w:val="20"/>
          <w:szCs w:val="20"/>
        </w:rPr>
        <w:t>S 1051 Substitute A</w:t>
      </w:r>
    </w:hyperlink>
  </w:p>
  <w:p w14:paraId="315BBA23" w14:textId="77777777" w:rsidR="00251760" w:rsidRPr="00CF1839" w:rsidRDefault="0028562D" w:rsidP="00B528ED">
    <w:pPr>
      <w:spacing w:after="0"/>
      <w:rPr>
        <w:b/>
        <w:bCs/>
      </w:rPr>
    </w:pPr>
    <w:r>
      <w:rPr>
        <w:b/>
        <w:bCs/>
      </w:rPr>
      <w:t xml:space="preserve">Zoning Ordinance Template Language </w:t>
    </w:r>
  </w:p>
  <w:p w14:paraId="27009F9E" w14:textId="77777777" w:rsidR="00B528ED" w:rsidRDefault="00B52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9F"/>
    <w:multiLevelType w:val="multilevel"/>
    <w:tmpl w:val="25BAB1C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64D51"/>
    <w:multiLevelType w:val="hybridMultilevel"/>
    <w:tmpl w:val="1CC4C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91107"/>
    <w:multiLevelType w:val="multilevel"/>
    <w:tmpl w:val="4350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1020E"/>
    <w:multiLevelType w:val="hybridMultilevel"/>
    <w:tmpl w:val="4AB6B058"/>
    <w:lvl w:ilvl="0" w:tplc="04090015">
      <w:start w:val="1"/>
      <w:numFmt w:val="upperLetter"/>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65443E1"/>
    <w:multiLevelType w:val="hybridMultilevel"/>
    <w:tmpl w:val="826614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8441E"/>
    <w:multiLevelType w:val="multilevel"/>
    <w:tmpl w:val="51523D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a."/>
      <w:lvlJc w:val="left"/>
      <w:pPr>
        <w:ind w:left="1224" w:firstLine="31545"/>
      </w:pPr>
      <w:rPr>
        <w:rFonts w:hint="default"/>
      </w:rPr>
    </w:lvl>
    <w:lvl w:ilvl="3">
      <w:start w:val="1"/>
      <w:numFmt w:val="upp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A17137"/>
    <w:multiLevelType w:val="hybridMultilevel"/>
    <w:tmpl w:val="5C78BCD4"/>
    <w:lvl w:ilvl="0" w:tplc="9DAE9CB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1508B"/>
    <w:multiLevelType w:val="hybridMultilevel"/>
    <w:tmpl w:val="543E444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E4A7D90"/>
    <w:multiLevelType w:val="multilevel"/>
    <w:tmpl w:val="F8F8EF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a."/>
      <w:lvlJc w:val="left"/>
      <w:pPr>
        <w:ind w:left="1224" w:firstLine="31545"/>
      </w:pPr>
      <w:rPr>
        <w:rFonts w:hint="default"/>
      </w:rPr>
    </w:lvl>
    <w:lvl w:ilvl="3">
      <w:start w:val="1"/>
      <w:numFmt w:val="none"/>
      <w:lvlText w:val="a."/>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984421"/>
    <w:multiLevelType w:val="multilevel"/>
    <w:tmpl w:val="4350D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3537A"/>
    <w:multiLevelType w:val="hybridMultilevel"/>
    <w:tmpl w:val="80CCAB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CA54299"/>
    <w:multiLevelType w:val="multilevel"/>
    <w:tmpl w:val="4350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E67BCA"/>
    <w:multiLevelType w:val="multilevel"/>
    <w:tmpl w:val="435C94C4"/>
    <w:lvl w:ilvl="0">
      <w:start w:val="1"/>
      <w:numFmt w:val="decimal"/>
      <w:lvlText w:val="%1."/>
      <w:lvlJc w:val="left"/>
      <w:pPr>
        <w:tabs>
          <w:tab w:val="num" w:pos="720"/>
        </w:tabs>
        <w:ind w:left="720" w:hanging="360"/>
      </w:pPr>
    </w:lvl>
    <w:lvl w:ilvl="1">
      <w:start w:val="1"/>
      <w:numFmt w:val="decimal"/>
      <w:lvlText w:val="%2."/>
      <w:lvlJc w:val="left"/>
      <w:pPr>
        <w:ind w:left="365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14" w15:restartNumberingAfterBreak="0">
    <w:nsid w:val="4BF824DB"/>
    <w:multiLevelType w:val="multilevel"/>
    <w:tmpl w:val="4350D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16" w15:restartNumberingAfterBreak="0">
    <w:nsid w:val="53B04DBB"/>
    <w:multiLevelType w:val="multilevel"/>
    <w:tmpl w:val="D004A70A"/>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C013F0"/>
    <w:multiLevelType w:val="multilevel"/>
    <w:tmpl w:val="75B657C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1718A1"/>
    <w:multiLevelType w:val="multilevel"/>
    <w:tmpl w:val="4E4050E6"/>
    <w:lvl w:ilvl="0">
      <w:start w:val="2"/>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D8F6814"/>
    <w:multiLevelType w:val="multilevel"/>
    <w:tmpl w:val="4350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E37BC3"/>
    <w:multiLevelType w:val="multilevel"/>
    <w:tmpl w:val="63B8DF2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356CD6"/>
    <w:multiLevelType w:val="hybridMultilevel"/>
    <w:tmpl w:val="85FEE608"/>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0F">
      <w:start w:val="1"/>
      <w:numFmt w:val="decimal"/>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2" w15:restartNumberingAfterBreak="0">
    <w:nsid w:val="7CD551CF"/>
    <w:multiLevelType w:val="multilevel"/>
    <w:tmpl w:val="4350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B4A8C"/>
    <w:multiLevelType w:val="multilevel"/>
    <w:tmpl w:val="BB96F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551700">
    <w:abstractNumId w:val="12"/>
  </w:num>
  <w:num w:numId="2" w16cid:durableId="15079837">
    <w:abstractNumId w:val="17"/>
  </w:num>
  <w:num w:numId="3" w16cid:durableId="968167064">
    <w:abstractNumId w:val="16"/>
  </w:num>
  <w:num w:numId="4" w16cid:durableId="1922061063">
    <w:abstractNumId w:val="2"/>
  </w:num>
  <w:num w:numId="5" w16cid:durableId="624971335">
    <w:abstractNumId w:val="19"/>
  </w:num>
  <w:num w:numId="6" w16cid:durableId="1798256152">
    <w:abstractNumId w:val="9"/>
  </w:num>
  <w:num w:numId="7" w16cid:durableId="737436539">
    <w:abstractNumId w:val="23"/>
  </w:num>
  <w:num w:numId="8" w16cid:durableId="533731939">
    <w:abstractNumId w:val="11"/>
  </w:num>
  <w:num w:numId="9" w16cid:durableId="1128551421">
    <w:abstractNumId w:val="22"/>
  </w:num>
  <w:num w:numId="10" w16cid:durableId="387000397">
    <w:abstractNumId w:val="14"/>
  </w:num>
  <w:num w:numId="11" w16cid:durableId="229390152">
    <w:abstractNumId w:val="21"/>
  </w:num>
  <w:num w:numId="12" w16cid:durableId="1307859047">
    <w:abstractNumId w:val="6"/>
  </w:num>
  <w:num w:numId="13" w16cid:durableId="609434498">
    <w:abstractNumId w:val="5"/>
  </w:num>
  <w:num w:numId="14" w16cid:durableId="1854758011">
    <w:abstractNumId w:val="8"/>
  </w:num>
  <w:num w:numId="15" w16cid:durableId="2106266178">
    <w:abstractNumId w:val="3"/>
  </w:num>
  <w:num w:numId="16" w16cid:durableId="2058583158">
    <w:abstractNumId w:val="4"/>
  </w:num>
  <w:num w:numId="17" w16cid:durableId="2074811614">
    <w:abstractNumId w:val="10"/>
  </w:num>
  <w:num w:numId="18" w16cid:durableId="1780948331">
    <w:abstractNumId w:val="1"/>
  </w:num>
  <w:num w:numId="19" w16cid:durableId="1441994062">
    <w:abstractNumId w:val="0"/>
  </w:num>
  <w:num w:numId="20" w16cid:durableId="1276599556">
    <w:abstractNumId w:val="20"/>
  </w:num>
  <w:num w:numId="21" w16cid:durableId="2015258718">
    <w:abstractNumId w:val="7"/>
  </w:num>
  <w:num w:numId="22" w16cid:durableId="1991514179">
    <w:abstractNumId w:val="18"/>
  </w:num>
  <w:num w:numId="23" w16cid:durableId="1028291608">
    <w:abstractNumId w:val="15"/>
  </w:num>
  <w:num w:numId="24" w16cid:durableId="5631810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zNLE0sDA1sTAHspV0lIJTi4sz8/NACgwNawFeLvSmLQAAAA=="/>
  </w:docVars>
  <w:rsids>
    <w:rsidRoot w:val="00C32EB1"/>
    <w:rsid w:val="00013365"/>
    <w:rsid w:val="00021944"/>
    <w:rsid w:val="00032CDB"/>
    <w:rsid w:val="00046391"/>
    <w:rsid w:val="00050A1C"/>
    <w:rsid w:val="00054016"/>
    <w:rsid w:val="00061A93"/>
    <w:rsid w:val="00080082"/>
    <w:rsid w:val="0008031D"/>
    <w:rsid w:val="000845CC"/>
    <w:rsid w:val="00097DE6"/>
    <w:rsid w:val="000B40EA"/>
    <w:rsid w:val="000C714F"/>
    <w:rsid w:val="000E6CA3"/>
    <w:rsid w:val="001032CD"/>
    <w:rsid w:val="00104A50"/>
    <w:rsid w:val="00107FAE"/>
    <w:rsid w:val="00115580"/>
    <w:rsid w:val="00133604"/>
    <w:rsid w:val="0017089F"/>
    <w:rsid w:val="001722A1"/>
    <w:rsid w:val="00172A8B"/>
    <w:rsid w:val="001813D4"/>
    <w:rsid w:val="001B0125"/>
    <w:rsid w:val="001B057D"/>
    <w:rsid w:val="001B72C3"/>
    <w:rsid w:val="001C065A"/>
    <w:rsid w:val="001C25F5"/>
    <w:rsid w:val="001F2D6D"/>
    <w:rsid w:val="00204DED"/>
    <w:rsid w:val="0021045F"/>
    <w:rsid w:val="00211801"/>
    <w:rsid w:val="00232775"/>
    <w:rsid w:val="00243BBB"/>
    <w:rsid w:val="002471A1"/>
    <w:rsid w:val="00251760"/>
    <w:rsid w:val="00276D88"/>
    <w:rsid w:val="0028562D"/>
    <w:rsid w:val="00291776"/>
    <w:rsid w:val="00294192"/>
    <w:rsid w:val="002B3AB9"/>
    <w:rsid w:val="002C5511"/>
    <w:rsid w:val="002C783E"/>
    <w:rsid w:val="002F47AC"/>
    <w:rsid w:val="002F4A62"/>
    <w:rsid w:val="003037F8"/>
    <w:rsid w:val="00305F85"/>
    <w:rsid w:val="00313D93"/>
    <w:rsid w:val="00317BB3"/>
    <w:rsid w:val="00322DB7"/>
    <w:rsid w:val="00331FA8"/>
    <w:rsid w:val="00332BC4"/>
    <w:rsid w:val="0034460C"/>
    <w:rsid w:val="00355963"/>
    <w:rsid w:val="00360137"/>
    <w:rsid w:val="003633CC"/>
    <w:rsid w:val="003640EF"/>
    <w:rsid w:val="00373B65"/>
    <w:rsid w:val="0039172B"/>
    <w:rsid w:val="003C6A31"/>
    <w:rsid w:val="003D420A"/>
    <w:rsid w:val="003E2F31"/>
    <w:rsid w:val="003E5513"/>
    <w:rsid w:val="004317B5"/>
    <w:rsid w:val="00431B03"/>
    <w:rsid w:val="0045735E"/>
    <w:rsid w:val="004748E6"/>
    <w:rsid w:val="00475A31"/>
    <w:rsid w:val="00476838"/>
    <w:rsid w:val="004827CA"/>
    <w:rsid w:val="004836C9"/>
    <w:rsid w:val="00492890"/>
    <w:rsid w:val="00493BC3"/>
    <w:rsid w:val="004A68F9"/>
    <w:rsid w:val="004A7F32"/>
    <w:rsid w:val="004D012C"/>
    <w:rsid w:val="004D1B91"/>
    <w:rsid w:val="004D2A1B"/>
    <w:rsid w:val="004F53E7"/>
    <w:rsid w:val="005000C6"/>
    <w:rsid w:val="0050279E"/>
    <w:rsid w:val="00512B7B"/>
    <w:rsid w:val="005154A3"/>
    <w:rsid w:val="00522EE8"/>
    <w:rsid w:val="00526714"/>
    <w:rsid w:val="0054572D"/>
    <w:rsid w:val="005631BA"/>
    <w:rsid w:val="00575E0B"/>
    <w:rsid w:val="0057687E"/>
    <w:rsid w:val="00580622"/>
    <w:rsid w:val="0058232C"/>
    <w:rsid w:val="005A5C08"/>
    <w:rsid w:val="005B408E"/>
    <w:rsid w:val="005C03E0"/>
    <w:rsid w:val="005D0BD2"/>
    <w:rsid w:val="005D5EFF"/>
    <w:rsid w:val="005E65C7"/>
    <w:rsid w:val="00607B23"/>
    <w:rsid w:val="00613E5D"/>
    <w:rsid w:val="0062470E"/>
    <w:rsid w:val="006366AB"/>
    <w:rsid w:val="006550A0"/>
    <w:rsid w:val="00661EB8"/>
    <w:rsid w:val="00661F3A"/>
    <w:rsid w:val="00676063"/>
    <w:rsid w:val="006A06AC"/>
    <w:rsid w:val="006B4E36"/>
    <w:rsid w:val="006C3140"/>
    <w:rsid w:val="006D263E"/>
    <w:rsid w:val="006E6050"/>
    <w:rsid w:val="006E7803"/>
    <w:rsid w:val="006F6BC9"/>
    <w:rsid w:val="00706D40"/>
    <w:rsid w:val="00714397"/>
    <w:rsid w:val="00717CCF"/>
    <w:rsid w:val="0072374E"/>
    <w:rsid w:val="0072541D"/>
    <w:rsid w:val="00731DB6"/>
    <w:rsid w:val="00744D72"/>
    <w:rsid w:val="00744E87"/>
    <w:rsid w:val="00763E62"/>
    <w:rsid w:val="00766A0D"/>
    <w:rsid w:val="007775F5"/>
    <w:rsid w:val="007832E0"/>
    <w:rsid w:val="007873F7"/>
    <w:rsid w:val="007A3D06"/>
    <w:rsid w:val="007A52D2"/>
    <w:rsid w:val="007F276F"/>
    <w:rsid w:val="00815584"/>
    <w:rsid w:val="00816FD4"/>
    <w:rsid w:val="0082325B"/>
    <w:rsid w:val="00833657"/>
    <w:rsid w:val="00844B68"/>
    <w:rsid w:val="00847A0B"/>
    <w:rsid w:val="00854CB1"/>
    <w:rsid w:val="0085704C"/>
    <w:rsid w:val="00863BEE"/>
    <w:rsid w:val="00873419"/>
    <w:rsid w:val="008743D2"/>
    <w:rsid w:val="0088156D"/>
    <w:rsid w:val="008B164B"/>
    <w:rsid w:val="008B6C0F"/>
    <w:rsid w:val="008C23D7"/>
    <w:rsid w:val="008F246B"/>
    <w:rsid w:val="008F6568"/>
    <w:rsid w:val="009036CF"/>
    <w:rsid w:val="00904F18"/>
    <w:rsid w:val="00913A32"/>
    <w:rsid w:val="00930F13"/>
    <w:rsid w:val="0093335A"/>
    <w:rsid w:val="00946FA6"/>
    <w:rsid w:val="00975B56"/>
    <w:rsid w:val="00995C62"/>
    <w:rsid w:val="00996F4E"/>
    <w:rsid w:val="009A0C63"/>
    <w:rsid w:val="009A2559"/>
    <w:rsid w:val="009C5350"/>
    <w:rsid w:val="009D7727"/>
    <w:rsid w:val="009E6B50"/>
    <w:rsid w:val="009F25AF"/>
    <w:rsid w:val="009F6CEA"/>
    <w:rsid w:val="00A0390E"/>
    <w:rsid w:val="00A114D1"/>
    <w:rsid w:val="00A1798F"/>
    <w:rsid w:val="00A2220B"/>
    <w:rsid w:val="00A37DB4"/>
    <w:rsid w:val="00A47317"/>
    <w:rsid w:val="00A534AA"/>
    <w:rsid w:val="00A554AC"/>
    <w:rsid w:val="00A6189F"/>
    <w:rsid w:val="00A65B59"/>
    <w:rsid w:val="00A67758"/>
    <w:rsid w:val="00A87214"/>
    <w:rsid w:val="00A94A90"/>
    <w:rsid w:val="00A9718A"/>
    <w:rsid w:val="00AA24CC"/>
    <w:rsid w:val="00AA32BF"/>
    <w:rsid w:val="00AB0ECF"/>
    <w:rsid w:val="00AB3B15"/>
    <w:rsid w:val="00AB3CE1"/>
    <w:rsid w:val="00AB4E6E"/>
    <w:rsid w:val="00AB680A"/>
    <w:rsid w:val="00AC0015"/>
    <w:rsid w:val="00AD3AD9"/>
    <w:rsid w:val="00AD53F6"/>
    <w:rsid w:val="00AE10CA"/>
    <w:rsid w:val="00AE20F0"/>
    <w:rsid w:val="00AE2E6C"/>
    <w:rsid w:val="00AF3AB6"/>
    <w:rsid w:val="00B04F1A"/>
    <w:rsid w:val="00B22ED1"/>
    <w:rsid w:val="00B476C4"/>
    <w:rsid w:val="00B528ED"/>
    <w:rsid w:val="00B551B3"/>
    <w:rsid w:val="00B71F3F"/>
    <w:rsid w:val="00B7242A"/>
    <w:rsid w:val="00B94C37"/>
    <w:rsid w:val="00BB0CCD"/>
    <w:rsid w:val="00BC0E0C"/>
    <w:rsid w:val="00BD22D9"/>
    <w:rsid w:val="00BD42E3"/>
    <w:rsid w:val="00BE4710"/>
    <w:rsid w:val="00BE6A57"/>
    <w:rsid w:val="00BF6134"/>
    <w:rsid w:val="00C05B99"/>
    <w:rsid w:val="00C07C47"/>
    <w:rsid w:val="00C227BF"/>
    <w:rsid w:val="00C2456E"/>
    <w:rsid w:val="00C32EB1"/>
    <w:rsid w:val="00C331E7"/>
    <w:rsid w:val="00C33D2E"/>
    <w:rsid w:val="00C3577E"/>
    <w:rsid w:val="00C44E1C"/>
    <w:rsid w:val="00C63D19"/>
    <w:rsid w:val="00C72AEA"/>
    <w:rsid w:val="00CA1C14"/>
    <w:rsid w:val="00CA2781"/>
    <w:rsid w:val="00CA54E3"/>
    <w:rsid w:val="00CB2543"/>
    <w:rsid w:val="00CD0988"/>
    <w:rsid w:val="00CD25B8"/>
    <w:rsid w:val="00CD4AF8"/>
    <w:rsid w:val="00CE3B1F"/>
    <w:rsid w:val="00CE4B44"/>
    <w:rsid w:val="00CF1839"/>
    <w:rsid w:val="00CF6B57"/>
    <w:rsid w:val="00D155AC"/>
    <w:rsid w:val="00D22552"/>
    <w:rsid w:val="00D230BB"/>
    <w:rsid w:val="00D253F6"/>
    <w:rsid w:val="00D27B0B"/>
    <w:rsid w:val="00D41C1D"/>
    <w:rsid w:val="00D44887"/>
    <w:rsid w:val="00D450EC"/>
    <w:rsid w:val="00D516F5"/>
    <w:rsid w:val="00D8443B"/>
    <w:rsid w:val="00D844A0"/>
    <w:rsid w:val="00D848AF"/>
    <w:rsid w:val="00D85E5B"/>
    <w:rsid w:val="00D94A81"/>
    <w:rsid w:val="00DA6050"/>
    <w:rsid w:val="00DB4691"/>
    <w:rsid w:val="00DB4B7A"/>
    <w:rsid w:val="00DC5854"/>
    <w:rsid w:val="00DE36ED"/>
    <w:rsid w:val="00E545CD"/>
    <w:rsid w:val="00E84888"/>
    <w:rsid w:val="00E8589A"/>
    <w:rsid w:val="00E961F1"/>
    <w:rsid w:val="00EA06CF"/>
    <w:rsid w:val="00EA0A23"/>
    <w:rsid w:val="00EA7AA4"/>
    <w:rsid w:val="00EB2AAA"/>
    <w:rsid w:val="00ED5DB8"/>
    <w:rsid w:val="00EE3EB3"/>
    <w:rsid w:val="00EE422A"/>
    <w:rsid w:val="00EE600C"/>
    <w:rsid w:val="00EE6EFD"/>
    <w:rsid w:val="00EF0E78"/>
    <w:rsid w:val="00EF1CD9"/>
    <w:rsid w:val="00EF318C"/>
    <w:rsid w:val="00EF5EAE"/>
    <w:rsid w:val="00F06504"/>
    <w:rsid w:val="00F2511C"/>
    <w:rsid w:val="00F26F47"/>
    <w:rsid w:val="00F27DE9"/>
    <w:rsid w:val="00F657F1"/>
    <w:rsid w:val="00F74950"/>
    <w:rsid w:val="00F75EF7"/>
    <w:rsid w:val="00F92854"/>
    <w:rsid w:val="00F93689"/>
    <w:rsid w:val="00FC23E8"/>
    <w:rsid w:val="00FC4131"/>
    <w:rsid w:val="00FC7815"/>
    <w:rsid w:val="00FD40C9"/>
    <w:rsid w:val="00FE7115"/>
    <w:rsid w:val="00FF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D14"/>
  <w15:chartTrackingRefBased/>
  <w15:docId w15:val="{6D0FDAFC-BBBF-4F9B-9DD5-61DACE9D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46B"/>
    <w:pPr>
      <w:spacing w:before="240" w:after="240" w:line="240" w:lineRule="auto"/>
    </w:pPr>
  </w:style>
  <w:style w:type="paragraph" w:styleId="Heading1">
    <w:name w:val="heading 1"/>
    <w:next w:val="Normal"/>
    <w:link w:val="Heading1Char"/>
    <w:uiPriority w:val="9"/>
    <w:qFormat/>
    <w:rsid w:val="00CD0988"/>
    <w:pPr>
      <w:keepNext/>
      <w:keepLines/>
      <w:spacing w:before="240" w:after="0"/>
      <w:outlineLvl w:val="0"/>
    </w:pPr>
    <w:rPr>
      <w:rFonts w:asciiTheme="majorHAnsi" w:eastAsiaTheme="majorEastAsia" w:hAnsiTheme="majorHAnsi" w:cstheme="majorBidi"/>
      <w:color w:val="000000" w:themeColor="text1"/>
      <w:sz w:val="20"/>
      <w:szCs w:val="32"/>
    </w:rPr>
  </w:style>
  <w:style w:type="paragraph" w:styleId="Heading2">
    <w:name w:val="heading 2"/>
    <w:basedOn w:val="Normal"/>
    <w:next w:val="Normal"/>
    <w:link w:val="Heading2Char"/>
    <w:uiPriority w:val="9"/>
    <w:semiHidden/>
    <w:unhideWhenUsed/>
    <w:qFormat/>
    <w:rsid w:val="00EF5E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5E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89A"/>
    <w:pPr>
      <w:spacing w:before="60"/>
      <w:ind w:left="720"/>
    </w:pPr>
  </w:style>
  <w:style w:type="character" w:styleId="CommentReference">
    <w:name w:val="annotation reference"/>
    <w:basedOn w:val="DefaultParagraphFont"/>
    <w:uiPriority w:val="99"/>
    <w:unhideWhenUsed/>
    <w:rsid w:val="00061A93"/>
    <w:rPr>
      <w:sz w:val="16"/>
      <w:szCs w:val="16"/>
    </w:rPr>
  </w:style>
  <w:style w:type="paragraph" w:styleId="CommentText">
    <w:name w:val="annotation text"/>
    <w:basedOn w:val="Normal"/>
    <w:link w:val="CommentTextChar"/>
    <w:uiPriority w:val="99"/>
    <w:unhideWhenUsed/>
    <w:rsid w:val="00061A93"/>
    <w:rPr>
      <w:sz w:val="20"/>
      <w:szCs w:val="20"/>
    </w:rPr>
  </w:style>
  <w:style w:type="character" w:customStyle="1" w:styleId="CommentTextChar">
    <w:name w:val="Comment Text Char"/>
    <w:basedOn w:val="DefaultParagraphFont"/>
    <w:link w:val="CommentText"/>
    <w:uiPriority w:val="99"/>
    <w:rsid w:val="00061A93"/>
    <w:rPr>
      <w:sz w:val="20"/>
      <w:szCs w:val="20"/>
    </w:rPr>
  </w:style>
  <w:style w:type="paragraph" w:styleId="CommentSubject">
    <w:name w:val="annotation subject"/>
    <w:basedOn w:val="CommentText"/>
    <w:next w:val="CommentText"/>
    <w:link w:val="CommentSubjectChar"/>
    <w:uiPriority w:val="99"/>
    <w:semiHidden/>
    <w:unhideWhenUsed/>
    <w:rsid w:val="00061A93"/>
    <w:rPr>
      <w:b/>
      <w:bCs/>
    </w:rPr>
  </w:style>
  <w:style w:type="character" w:customStyle="1" w:styleId="CommentSubjectChar">
    <w:name w:val="Comment Subject Char"/>
    <w:basedOn w:val="CommentTextChar"/>
    <w:link w:val="CommentSubject"/>
    <w:uiPriority w:val="99"/>
    <w:semiHidden/>
    <w:rsid w:val="00061A93"/>
    <w:rPr>
      <w:b/>
      <w:bCs/>
      <w:sz w:val="20"/>
      <w:szCs w:val="20"/>
    </w:rPr>
  </w:style>
  <w:style w:type="paragraph" w:styleId="FootnoteText">
    <w:name w:val="footnote text"/>
    <w:basedOn w:val="Normal"/>
    <w:link w:val="FootnoteTextChar"/>
    <w:uiPriority w:val="99"/>
    <w:unhideWhenUsed/>
    <w:rsid w:val="00061A93"/>
    <w:pPr>
      <w:spacing w:after="0"/>
    </w:pPr>
    <w:rPr>
      <w:sz w:val="20"/>
      <w:szCs w:val="20"/>
    </w:rPr>
  </w:style>
  <w:style w:type="character" w:customStyle="1" w:styleId="FootnoteTextChar">
    <w:name w:val="Footnote Text Char"/>
    <w:basedOn w:val="DefaultParagraphFont"/>
    <w:link w:val="FootnoteText"/>
    <w:uiPriority w:val="99"/>
    <w:rsid w:val="00061A93"/>
    <w:rPr>
      <w:sz w:val="20"/>
      <w:szCs w:val="20"/>
    </w:rPr>
  </w:style>
  <w:style w:type="character" w:styleId="FootnoteReference">
    <w:name w:val="footnote reference"/>
    <w:basedOn w:val="DefaultParagraphFont"/>
    <w:uiPriority w:val="99"/>
    <w:unhideWhenUsed/>
    <w:rsid w:val="00061A93"/>
    <w:rPr>
      <w:vertAlign w:val="superscript"/>
    </w:rPr>
  </w:style>
  <w:style w:type="paragraph" w:styleId="Header">
    <w:name w:val="header"/>
    <w:basedOn w:val="Normal"/>
    <w:link w:val="HeaderChar"/>
    <w:uiPriority w:val="99"/>
    <w:unhideWhenUsed/>
    <w:rsid w:val="00CF1839"/>
    <w:pPr>
      <w:tabs>
        <w:tab w:val="center" w:pos="4680"/>
        <w:tab w:val="right" w:pos="9360"/>
      </w:tabs>
      <w:spacing w:after="0"/>
    </w:pPr>
  </w:style>
  <w:style w:type="character" w:customStyle="1" w:styleId="HeaderChar">
    <w:name w:val="Header Char"/>
    <w:basedOn w:val="DefaultParagraphFont"/>
    <w:link w:val="Header"/>
    <w:uiPriority w:val="99"/>
    <w:rsid w:val="00CF1839"/>
  </w:style>
  <w:style w:type="paragraph" w:styleId="Footer">
    <w:name w:val="footer"/>
    <w:basedOn w:val="Normal"/>
    <w:link w:val="FooterChar"/>
    <w:uiPriority w:val="99"/>
    <w:unhideWhenUsed/>
    <w:rsid w:val="00CF1839"/>
    <w:pPr>
      <w:tabs>
        <w:tab w:val="center" w:pos="4680"/>
        <w:tab w:val="right" w:pos="9360"/>
      </w:tabs>
      <w:spacing w:after="0"/>
    </w:pPr>
  </w:style>
  <w:style w:type="character" w:customStyle="1" w:styleId="FooterChar">
    <w:name w:val="Footer Char"/>
    <w:basedOn w:val="DefaultParagraphFont"/>
    <w:link w:val="Footer"/>
    <w:uiPriority w:val="99"/>
    <w:rsid w:val="00CF1839"/>
  </w:style>
  <w:style w:type="character" w:styleId="LineNumber">
    <w:name w:val="line number"/>
    <w:basedOn w:val="DefaultParagraphFont"/>
    <w:uiPriority w:val="99"/>
    <w:semiHidden/>
    <w:unhideWhenUsed/>
    <w:rsid w:val="00B528ED"/>
  </w:style>
  <w:style w:type="paragraph" w:customStyle="1" w:styleId="Section">
    <w:name w:val="Section"/>
    <w:basedOn w:val="Heading1"/>
    <w:next w:val="Normal"/>
    <w:uiPriority w:val="1"/>
    <w:qFormat/>
    <w:rsid w:val="00EA7AA4"/>
    <w:pPr>
      <w:spacing w:before="180" w:after="120" w:line="276" w:lineRule="auto"/>
      <w:ind w:left="950" w:hanging="950"/>
      <w:outlineLvl w:val="5"/>
    </w:pPr>
    <w:rPr>
      <w:rFonts w:ascii="Calibri" w:eastAsiaTheme="minorHAnsi" w:hAnsi="Calibri" w:cstheme="minorBidi"/>
      <w:b/>
      <w:color w:val="auto"/>
      <w:sz w:val="24"/>
    </w:rPr>
  </w:style>
  <w:style w:type="paragraph" w:customStyle="1" w:styleId="List1">
    <w:name w:val="List 1"/>
    <w:basedOn w:val="Normal"/>
    <w:uiPriority w:val="5"/>
    <w:qFormat/>
    <w:rsid w:val="00EA7AA4"/>
    <w:pPr>
      <w:spacing w:before="40" w:after="120"/>
      <w:ind w:left="475" w:hanging="475"/>
    </w:pPr>
    <w:rPr>
      <w:rFonts w:ascii="Calibri" w:hAnsi="Calibri"/>
      <w:sz w:val="20"/>
      <w:szCs w:val="24"/>
    </w:rPr>
  </w:style>
  <w:style w:type="paragraph" w:styleId="List2">
    <w:name w:val="List 2"/>
    <w:basedOn w:val="List1"/>
    <w:uiPriority w:val="5"/>
    <w:semiHidden/>
    <w:unhideWhenUsed/>
    <w:qFormat/>
    <w:rsid w:val="00EA7AA4"/>
    <w:pPr>
      <w:ind w:left="950"/>
    </w:pPr>
  </w:style>
  <w:style w:type="character" w:customStyle="1" w:styleId="Heading1Char">
    <w:name w:val="Heading 1 Char"/>
    <w:basedOn w:val="DefaultParagraphFont"/>
    <w:link w:val="Heading1"/>
    <w:uiPriority w:val="9"/>
    <w:rsid w:val="00CD0988"/>
    <w:rPr>
      <w:rFonts w:asciiTheme="majorHAnsi" w:eastAsiaTheme="majorEastAsia" w:hAnsiTheme="majorHAnsi" w:cstheme="majorBidi"/>
      <w:color w:val="000000" w:themeColor="text1"/>
      <w:sz w:val="20"/>
      <w:szCs w:val="32"/>
    </w:rPr>
  </w:style>
  <w:style w:type="paragraph" w:customStyle="1" w:styleId="Paragraph1">
    <w:name w:val="Paragraph 1"/>
    <w:basedOn w:val="Normal"/>
    <w:uiPriority w:val="7"/>
    <w:qFormat/>
    <w:rsid w:val="008B6C0F"/>
    <w:pPr>
      <w:spacing w:before="40" w:after="120"/>
      <w:ind w:firstLine="475"/>
    </w:pPr>
    <w:rPr>
      <w:rFonts w:ascii="Calibri" w:hAnsi="Calibri"/>
      <w:sz w:val="20"/>
      <w:szCs w:val="24"/>
    </w:rPr>
  </w:style>
  <w:style w:type="paragraph" w:customStyle="1" w:styleId="Block2">
    <w:name w:val="Block 2"/>
    <w:basedOn w:val="Normal"/>
    <w:uiPriority w:val="3"/>
    <w:qFormat/>
    <w:rsid w:val="008B6C0F"/>
    <w:pPr>
      <w:spacing w:before="40" w:after="120"/>
      <w:ind w:left="475"/>
    </w:pPr>
    <w:rPr>
      <w:rFonts w:ascii="Calibri" w:hAnsi="Calibri"/>
      <w:sz w:val="20"/>
      <w:szCs w:val="24"/>
    </w:rPr>
  </w:style>
  <w:style w:type="paragraph" w:styleId="NormalWeb">
    <w:name w:val="Normal (Web)"/>
    <w:basedOn w:val="Normal"/>
    <w:uiPriority w:val="99"/>
    <w:semiHidden/>
    <w:unhideWhenUsed/>
    <w:rsid w:val="00BF6134"/>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046391"/>
    <w:pPr>
      <w:spacing w:after="0"/>
    </w:pPr>
    <w:rPr>
      <w:sz w:val="20"/>
      <w:szCs w:val="20"/>
    </w:rPr>
  </w:style>
  <w:style w:type="character" w:customStyle="1" w:styleId="EndnoteTextChar">
    <w:name w:val="Endnote Text Char"/>
    <w:basedOn w:val="DefaultParagraphFont"/>
    <w:link w:val="EndnoteText"/>
    <w:uiPriority w:val="99"/>
    <w:semiHidden/>
    <w:rsid w:val="00046391"/>
    <w:rPr>
      <w:sz w:val="20"/>
      <w:szCs w:val="20"/>
    </w:rPr>
  </w:style>
  <w:style w:type="character" w:styleId="EndnoteReference">
    <w:name w:val="endnote reference"/>
    <w:basedOn w:val="DefaultParagraphFont"/>
    <w:uiPriority w:val="99"/>
    <w:semiHidden/>
    <w:unhideWhenUsed/>
    <w:rsid w:val="00046391"/>
    <w:rPr>
      <w:vertAlign w:val="superscript"/>
    </w:rPr>
  </w:style>
  <w:style w:type="paragraph" w:styleId="List3">
    <w:name w:val="List 3"/>
    <w:basedOn w:val="Normal"/>
    <w:uiPriority w:val="99"/>
    <w:semiHidden/>
    <w:unhideWhenUsed/>
    <w:rsid w:val="002C5511"/>
    <w:pPr>
      <w:ind w:left="1080" w:hanging="360"/>
      <w:contextualSpacing/>
    </w:pPr>
  </w:style>
  <w:style w:type="character" w:styleId="Hyperlink">
    <w:name w:val="Hyperlink"/>
    <w:basedOn w:val="DefaultParagraphFont"/>
    <w:uiPriority w:val="99"/>
    <w:unhideWhenUsed/>
    <w:rsid w:val="00C05B99"/>
    <w:rPr>
      <w:color w:val="0563C1" w:themeColor="hyperlink"/>
      <w:u w:val="single"/>
    </w:rPr>
  </w:style>
  <w:style w:type="paragraph" w:styleId="Revision">
    <w:name w:val="Revision"/>
    <w:hidden/>
    <w:uiPriority w:val="99"/>
    <w:semiHidden/>
    <w:rsid w:val="0072541D"/>
    <w:pPr>
      <w:spacing w:after="0" w:line="240" w:lineRule="auto"/>
    </w:pPr>
  </w:style>
  <w:style w:type="character" w:customStyle="1" w:styleId="ital">
    <w:name w:val="ital"/>
    <w:basedOn w:val="DefaultParagraphFont"/>
    <w:rsid w:val="0072541D"/>
  </w:style>
  <w:style w:type="paragraph" w:customStyle="1" w:styleId="p0">
    <w:name w:val="p0"/>
    <w:basedOn w:val="Normal"/>
    <w:rsid w:val="00322DB7"/>
    <w:pPr>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6F47"/>
    <w:rPr>
      <w:color w:val="666666"/>
    </w:rPr>
  </w:style>
  <w:style w:type="character" w:styleId="UnresolvedMention">
    <w:name w:val="Unresolved Mention"/>
    <w:basedOn w:val="DefaultParagraphFont"/>
    <w:uiPriority w:val="99"/>
    <w:rsid w:val="00661F3A"/>
    <w:rPr>
      <w:color w:val="605E5C"/>
      <w:shd w:val="clear" w:color="auto" w:fill="E1DFDD"/>
    </w:rPr>
  </w:style>
  <w:style w:type="character" w:customStyle="1" w:styleId="Heading2Char">
    <w:name w:val="Heading 2 Char"/>
    <w:basedOn w:val="DefaultParagraphFont"/>
    <w:link w:val="Heading2"/>
    <w:uiPriority w:val="9"/>
    <w:semiHidden/>
    <w:rsid w:val="00EF5E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F5EA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ebserver.rilegislature.gov/BillText/BillText23/SenateText23/S1051A.pdf" TargetMode="External"/><Relationship Id="rId1" Type="http://schemas.openxmlformats.org/officeDocument/2006/relationships/hyperlink" Target="http://webserver.rilegislature.gov/BillText/BillText23/HouseText23/H605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016A67-7CB2-4E28-971D-32CAAC4DDA19}">
  <ds:schemaRefs>
    <ds:schemaRef ds:uri="http://schemas.openxmlformats.org/officeDocument/2006/bibliography"/>
  </ds:schemaRefs>
</ds:datastoreItem>
</file>

<file path=customXml/itemProps2.xml><?xml version="1.0" encoding="utf-8"?>
<ds:datastoreItem xmlns:ds="http://schemas.openxmlformats.org/officeDocument/2006/customXml" ds:itemID="{C2CFF5E8-86F0-450C-BF09-3EF7401C4370}"/>
</file>

<file path=customXml/itemProps3.xml><?xml version="1.0" encoding="utf-8"?>
<ds:datastoreItem xmlns:ds="http://schemas.openxmlformats.org/officeDocument/2006/customXml" ds:itemID="{0E777F93-B147-4E33-81B7-F6D492C884C4}"/>
</file>

<file path=customXml/itemProps4.xml><?xml version="1.0" encoding="utf-8"?>
<ds:datastoreItem xmlns:ds="http://schemas.openxmlformats.org/officeDocument/2006/customXml" ds:itemID="{49668321-A3E3-4A70-A663-581663DD8E24}"/>
</file>

<file path=docProps/app.xml><?xml version="1.0" encoding="utf-8"?>
<Properties xmlns="http://schemas.openxmlformats.org/officeDocument/2006/extended-properties" xmlns:vt="http://schemas.openxmlformats.org/officeDocument/2006/docPropsVTypes">
  <Template>Normal.dotm</Template>
  <TotalTime>5</TotalTime>
  <Pages>5</Pages>
  <Words>1609</Words>
  <Characters>9485</Characters>
  <Application>Microsoft Office Word</Application>
  <DocSecurity>0</DocSecurity>
  <Lines>166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Sweet, Ashley</dc:creator>
  <cp:lastModifiedBy>HeeJin Kim</cp:lastModifiedBy>
  <cp:revision>5</cp:revision>
  <dcterms:created xsi:type="dcterms:W3CDTF">2026-02-09T16:27:00Z</dcterms:created>
  <dcterms:modified xsi:type="dcterms:W3CDTF">2026-03-04T16:38:00Z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